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DA27" w14:textId="77777777" w:rsidR="005B1E64" w:rsidRDefault="002C6FBF">
      <w:bookmarkStart w:id="0" w:name="_GoBack"/>
      <w:bookmarkEnd w:id="0"/>
    </w:p>
    <w:p w14:paraId="0736CFC8" w14:textId="77777777" w:rsidR="009F5632" w:rsidRDefault="009F5632"/>
    <w:p w14:paraId="5CCDD551" w14:textId="77777777" w:rsidR="009F5632" w:rsidRPr="00334723" w:rsidRDefault="00F43F6B" w:rsidP="00F43F6B">
      <w:pPr>
        <w:jc w:val="center"/>
        <w:rPr>
          <w:rFonts w:ascii="Arial Narrow" w:hAnsi="Arial Narrow"/>
          <w:b/>
          <w:sz w:val="28"/>
          <w:szCs w:val="28"/>
        </w:rPr>
      </w:pPr>
      <w:r w:rsidRPr="00334723">
        <w:rPr>
          <w:rFonts w:ascii="Arial Narrow" w:hAnsi="Arial Narrow"/>
          <w:b/>
          <w:sz w:val="28"/>
          <w:szCs w:val="28"/>
        </w:rPr>
        <w:t>Anexo Técnico</w:t>
      </w:r>
    </w:p>
    <w:p w14:paraId="5F7D5DF7" w14:textId="77777777" w:rsidR="009F5632" w:rsidRPr="00334723" w:rsidRDefault="009F5632" w:rsidP="009F5632">
      <w:pPr>
        <w:jc w:val="center"/>
        <w:rPr>
          <w:rFonts w:ascii="Arial Narrow" w:hAnsi="Arial Narrow"/>
          <w:b/>
          <w:sz w:val="28"/>
          <w:szCs w:val="28"/>
        </w:rPr>
      </w:pPr>
      <w:r w:rsidRPr="00334723">
        <w:rPr>
          <w:rFonts w:ascii="Arial Narrow" w:hAnsi="Arial Narrow"/>
          <w:b/>
          <w:sz w:val="28"/>
          <w:szCs w:val="28"/>
        </w:rPr>
        <w:t>Presunciones de Costos para Trabajadores Independientes</w:t>
      </w:r>
      <w:r w:rsidR="00C371F0" w:rsidRPr="00334723">
        <w:rPr>
          <w:rFonts w:ascii="Arial Narrow" w:hAnsi="Arial Narrow"/>
          <w:b/>
          <w:sz w:val="28"/>
          <w:szCs w:val="28"/>
        </w:rPr>
        <w:t xml:space="preserve"> con Ingresos diferentes a rentas laborales</w:t>
      </w:r>
    </w:p>
    <w:p w14:paraId="678AA8E4" w14:textId="77777777" w:rsidR="009F5632" w:rsidRPr="00334723" w:rsidRDefault="009F5632" w:rsidP="009F5632">
      <w:pPr>
        <w:jc w:val="center"/>
        <w:rPr>
          <w:rFonts w:ascii="Arial Narrow" w:hAnsi="Arial Narrow"/>
          <w:b/>
          <w:sz w:val="28"/>
          <w:szCs w:val="28"/>
        </w:rPr>
      </w:pPr>
      <w:r w:rsidRPr="00334723">
        <w:rPr>
          <w:rFonts w:ascii="Arial Narrow" w:hAnsi="Arial Narrow"/>
          <w:b/>
          <w:sz w:val="28"/>
          <w:szCs w:val="28"/>
        </w:rPr>
        <w:t>Base Metodológica y Resu</w:t>
      </w:r>
      <w:r w:rsidR="00C371F0" w:rsidRPr="00334723">
        <w:rPr>
          <w:rFonts w:ascii="Arial Narrow" w:hAnsi="Arial Narrow"/>
          <w:b/>
          <w:sz w:val="28"/>
          <w:szCs w:val="28"/>
        </w:rPr>
        <w:t>l</w:t>
      </w:r>
      <w:r w:rsidRPr="00334723">
        <w:rPr>
          <w:rFonts w:ascii="Arial Narrow" w:hAnsi="Arial Narrow"/>
          <w:b/>
          <w:sz w:val="28"/>
          <w:szCs w:val="28"/>
        </w:rPr>
        <w:t>tados</w:t>
      </w:r>
    </w:p>
    <w:p w14:paraId="4D7E1CB4" w14:textId="77777777" w:rsidR="009F5632" w:rsidRPr="00F43F6B" w:rsidRDefault="009F5632" w:rsidP="009F5632">
      <w:pPr>
        <w:jc w:val="center"/>
        <w:rPr>
          <w:rFonts w:ascii="Arial Narrow" w:hAnsi="Arial Narrow"/>
          <w:sz w:val="28"/>
          <w:szCs w:val="28"/>
        </w:rPr>
      </w:pPr>
    </w:p>
    <w:p w14:paraId="7A1FF21D" w14:textId="77777777" w:rsidR="009F5632" w:rsidRPr="00F43F6B" w:rsidRDefault="009F5632" w:rsidP="009F5632">
      <w:pPr>
        <w:jc w:val="both"/>
        <w:rPr>
          <w:rFonts w:ascii="Arial Narrow" w:hAnsi="Arial Narrow"/>
          <w:sz w:val="28"/>
          <w:szCs w:val="28"/>
        </w:rPr>
      </w:pPr>
      <w:r w:rsidRPr="00F43F6B">
        <w:rPr>
          <w:rFonts w:ascii="Arial Narrow" w:hAnsi="Arial Narrow"/>
          <w:b/>
          <w:sz w:val="28"/>
          <w:szCs w:val="28"/>
        </w:rPr>
        <w:t>Presentación.―</w:t>
      </w:r>
      <w:r w:rsidRPr="00F43F6B">
        <w:rPr>
          <w:rFonts w:ascii="Arial Narrow" w:hAnsi="Arial Narrow"/>
          <w:sz w:val="28"/>
          <w:szCs w:val="28"/>
        </w:rPr>
        <w:t xml:space="preserve"> El presente documento contiene la base metodológica y los resultados del procedimiento utilizado en la identificación de Presunciones de Costos para trabajadores independientes, con ingresos no laborales, como un insumo de información para la </w:t>
      </w:r>
      <w:r w:rsidR="00F43F6B">
        <w:rPr>
          <w:rFonts w:ascii="Arial Narrow" w:hAnsi="Arial Narrow"/>
          <w:sz w:val="28"/>
          <w:szCs w:val="28"/>
        </w:rPr>
        <w:t>estimación</w:t>
      </w:r>
      <w:r w:rsidRPr="00F43F6B">
        <w:rPr>
          <w:rFonts w:ascii="Arial Narrow" w:hAnsi="Arial Narrow"/>
          <w:sz w:val="28"/>
          <w:szCs w:val="28"/>
        </w:rPr>
        <w:t xml:space="preserve"> de obligaciones en individuos que se presumen evasores a fin de ser sujetos de tratamiento persuasivo, o bien, de individuos que se encuentran en proceso de fiscalización en curso.</w:t>
      </w:r>
    </w:p>
    <w:p w14:paraId="369842BD" w14:textId="77777777" w:rsidR="009F5632" w:rsidRPr="00F43F6B" w:rsidRDefault="009F5632" w:rsidP="009F5632">
      <w:pPr>
        <w:jc w:val="both"/>
        <w:rPr>
          <w:rFonts w:ascii="Arial Narrow" w:hAnsi="Arial Narrow"/>
          <w:sz w:val="28"/>
          <w:szCs w:val="28"/>
        </w:rPr>
      </w:pPr>
      <w:r w:rsidRPr="00F43F6B">
        <w:rPr>
          <w:rFonts w:ascii="Arial Narrow" w:hAnsi="Arial Narrow"/>
          <w:sz w:val="28"/>
          <w:szCs w:val="28"/>
        </w:rPr>
        <w:t xml:space="preserve">El documento contiene </w:t>
      </w:r>
      <w:r w:rsidR="00544063" w:rsidRPr="00F43F6B">
        <w:rPr>
          <w:rFonts w:ascii="Arial Narrow" w:hAnsi="Arial Narrow"/>
          <w:sz w:val="28"/>
          <w:szCs w:val="28"/>
        </w:rPr>
        <w:t>cuatro</w:t>
      </w:r>
      <w:r w:rsidRPr="00F43F6B">
        <w:rPr>
          <w:rFonts w:ascii="Arial Narrow" w:hAnsi="Arial Narrow"/>
          <w:sz w:val="28"/>
          <w:szCs w:val="28"/>
        </w:rPr>
        <w:t xml:space="preserve"> partes. La primera comprende los antecedentes de la investigación; la segunda describe la propuesta metodológica en tanto que la tercera registra los resultados obtenidos. La última sección, concluye.</w:t>
      </w:r>
    </w:p>
    <w:p w14:paraId="0A451E69" w14:textId="77777777" w:rsidR="009F5632" w:rsidRPr="00F43F6B" w:rsidRDefault="009F5632" w:rsidP="009F5632">
      <w:pPr>
        <w:pStyle w:val="Prrafodelista"/>
        <w:numPr>
          <w:ilvl w:val="0"/>
          <w:numId w:val="4"/>
        </w:numPr>
        <w:jc w:val="both"/>
        <w:rPr>
          <w:rFonts w:ascii="Arial Narrow" w:hAnsi="Arial Narrow"/>
          <w:sz w:val="28"/>
          <w:szCs w:val="28"/>
        </w:rPr>
      </w:pPr>
      <w:r w:rsidRPr="00F43F6B">
        <w:rPr>
          <w:rFonts w:ascii="Arial Narrow" w:hAnsi="Arial Narrow"/>
          <w:b/>
          <w:sz w:val="28"/>
          <w:szCs w:val="28"/>
        </w:rPr>
        <w:t>Antecedentes.―</w:t>
      </w:r>
      <w:r w:rsidRPr="00F43F6B">
        <w:rPr>
          <w:rFonts w:ascii="Arial Narrow" w:hAnsi="Arial Narrow"/>
          <w:sz w:val="28"/>
          <w:szCs w:val="28"/>
        </w:rPr>
        <w:t xml:space="preserve">  La Ley 1955 de 2019, por el cual se expide el Plan Nacional de Desarrollo 2018-2022, «Pacto por Colombia, Pacto por la Equidad» dispone:</w:t>
      </w:r>
    </w:p>
    <w:p w14:paraId="18AC5C24" w14:textId="77777777" w:rsidR="009F5632" w:rsidRPr="00F43F6B" w:rsidRDefault="009F5632" w:rsidP="00914E99">
      <w:pPr>
        <w:ind w:left="851" w:right="616"/>
        <w:jc w:val="both"/>
        <w:rPr>
          <w:rFonts w:ascii="Arial Narrow" w:hAnsi="Arial Narrow"/>
          <w:sz w:val="28"/>
          <w:szCs w:val="28"/>
        </w:rPr>
      </w:pPr>
      <w:r w:rsidRPr="00F43F6B">
        <w:rPr>
          <w:rFonts w:ascii="Arial Narrow" w:hAnsi="Arial Narrow"/>
          <w:sz w:val="28"/>
          <w:szCs w:val="28"/>
        </w:rPr>
        <w:t>“</w:t>
      </w:r>
      <w:r w:rsidRPr="00F43F6B">
        <w:rPr>
          <w:rFonts w:ascii="Arial Narrow" w:hAnsi="Arial Narrow"/>
          <w:i/>
          <w:sz w:val="28"/>
          <w:szCs w:val="28"/>
        </w:rPr>
        <w:t>para efectos de la determinación del IBC de los trabajadores independientes por cuenta propia y para quienes celebren contratos diferentes de prestación de servicios personales que impliquen subcontratación y/o compra de insumos o expensas, la UGPP deberá determinar un esquema de presunción de costos, atendiendo a los datos estadísticos producidos por la DIAN, por el DANE, por el Banco de la República, por la Superintendencia de Sociedades u otras entidades cuyas estadísticas fueren aplicables</w:t>
      </w:r>
      <w:r w:rsidRPr="00F43F6B">
        <w:rPr>
          <w:rFonts w:ascii="Arial Narrow" w:hAnsi="Arial Narrow"/>
          <w:sz w:val="28"/>
          <w:szCs w:val="28"/>
        </w:rPr>
        <w:t>”.</w:t>
      </w:r>
    </w:p>
    <w:p w14:paraId="27579B2F" w14:textId="77777777" w:rsidR="009F5632" w:rsidRPr="00F43F6B" w:rsidRDefault="00F43F6B" w:rsidP="009F5632">
      <w:pPr>
        <w:ind w:left="360"/>
        <w:jc w:val="both"/>
        <w:rPr>
          <w:rFonts w:ascii="Arial Narrow" w:hAnsi="Arial Narrow"/>
          <w:sz w:val="28"/>
          <w:szCs w:val="28"/>
        </w:rPr>
      </w:pPr>
      <w:r w:rsidRPr="00F43F6B">
        <w:rPr>
          <w:rFonts w:ascii="Arial Narrow" w:hAnsi="Arial Narrow"/>
          <w:sz w:val="28"/>
          <w:szCs w:val="28"/>
        </w:rPr>
        <w:t>En</w:t>
      </w:r>
      <w:r>
        <w:rPr>
          <w:rFonts w:ascii="Arial Narrow" w:hAnsi="Arial Narrow"/>
          <w:sz w:val="28"/>
          <w:szCs w:val="28"/>
        </w:rPr>
        <w:t xml:space="preserve"> 2019</w:t>
      </w:r>
      <w:r w:rsidR="009F5632" w:rsidRPr="00F43F6B">
        <w:rPr>
          <w:rFonts w:ascii="Arial Narrow" w:hAnsi="Arial Narrow"/>
          <w:sz w:val="28"/>
          <w:szCs w:val="28"/>
        </w:rPr>
        <w:t xml:space="preserve"> la UGPP definió un esquema de presunción de costos para los Independientes por cuenta propia cuya actividad económica es el Transporte Público Automotor de Carga por Carretera,  teniendo en cuenta el Sistema de Costos Eficientes de Operación del Transporte Automotor de Carga, SICE-TAC y </w:t>
      </w:r>
      <w:r w:rsidR="009F5632" w:rsidRPr="00F43F6B">
        <w:rPr>
          <w:rFonts w:ascii="Arial Narrow" w:hAnsi="Arial Narrow"/>
          <w:sz w:val="28"/>
          <w:szCs w:val="28"/>
        </w:rPr>
        <w:lastRenderedPageBreak/>
        <w:t>el Registro Nacional de Despachos de carga – RNDC.</w:t>
      </w:r>
      <w:r w:rsidR="00311426" w:rsidRPr="00F43F6B">
        <w:rPr>
          <w:rFonts w:ascii="Arial Narrow" w:hAnsi="Arial Narrow"/>
          <w:sz w:val="28"/>
          <w:szCs w:val="28"/>
        </w:rPr>
        <w:t xml:space="preserve"> Este estudio concluyó con la publicación de la </w:t>
      </w:r>
      <w:hyperlink r:id="rId5" w:history="1">
        <w:r w:rsidR="00311426" w:rsidRPr="00F43F6B">
          <w:rPr>
            <w:rStyle w:val="Hipervnculo"/>
            <w:rFonts w:ascii="Arial Narrow" w:hAnsi="Arial Narrow"/>
            <w:sz w:val="28"/>
            <w:szCs w:val="28"/>
          </w:rPr>
          <w:t>Resolución 1400 del 26 de agosto de 2019</w:t>
        </w:r>
      </w:hyperlink>
      <w:r w:rsidR="00311426" w:rsidRPr="00F43F6B">
        <w:rPr>
          <w:rFonts w:ascii="Arial Narrow" w:hAnsi="Arial Narrow"/>
          <w:sz w:val="28"/>
          <w:szCs w:val="28"/>
        </w:rPr>
        <w:t xml:space="preserve"> mediante la cual se adopta un esquema de presunción de costos a fin de establecer el ingreso base de cotización (IBC) para el pago de los aportes a la seguridad social integral de los trabajadores de referencia. La base de cotización será como mínimo el 40% del resultado de restar de los ingresos brutos, los costos presuntos que se calculan de acuerdo a las tablas  que conforman dicha resolución.</w:t>
      </w:r>
    </w:p>
    <w:p w14:paraId="66E92633" w14:textId="77777777" w:rsidR="00311426" w:rsidRPr="00F43F6B" w:rsidRDefault="00311426" w:rsidP="009F5632">
      <w:pPr>
        <w:ind w:left="360"/>
        <w:jc w:val="both"/>
        <w:rPr>
          <w:rFonts w:ascii="Arial Narrow" w:hAnsi="Arial Narrow"/>
          <w:sz w:val="28"/>
          <w:szCs w:val="28"/>
        </w:rPr>
      </w:pPr>
      <w:r w:rsidRPr="00F43F6B">
        <w:rPr>
          <w:rFonts w:ascii="Arial Narrow" w:hAnsi="Arial Narrow"/>
          <w:sz w:val="28"/>
          <w:szCs w:val="28"/>
        </w:rPr>
        <w:t>No obstante, no todas las ramas de actividad económica cuentan con fuentes de información o estudios como el SICE-TAC de modo que, en ausencia de estudios sectoriales se propone un conjunto de estima</w:t>
      </w:r>
      <w:r w:rsidR="00F43F6B">
        <w:rPr>
          <w:rFonts w:ascii="Arial Narrow" w:hAnsi="Arial Narrow"/>
          <w:sz w:val="28"/>
          <w:szCs w:val="28"/>
        </w:rPr>
        <w:t>ciones de</w:t>
      </w:r>
      <w:r w:rsidRPr="00F43F6B">
        <w:rPr>
          <w:rFonts w:ascii="Arial Narrow" w:hAnsi="Arial Narrow"/>
          <w:sz w:val="28"/>
          <w:szCs w:val="28"/>
        </w:rPr>
        <w:t xml:space="preserve"> la participación de costos frente a </w:t>
      </w:r>
      <w:r w:rsidR="00F43F6B">
        <w:rPr>
          <w:rFonts w:ascii="Arial Narrow" w:hAnsi="Arial Narrow"/>
          <w:sz w:val="28"/>
          <w:szCs w:val="28"/>
        </w:rPr>
        <w:t>los</w:t>
      </w:r>
      <w:r w:rsidRPr="00F43F6B">
        <w:rPr>
          <w:rFonts w:ascii="Arial Narrow" w:hAnsi="Arial Narrow"/>
          <w:sz w:val="28"/>
          <w:szCs w:val="28"/>
        </w:rPr>
        <w:t xml:space="preserve"> ingresos derivados del desarrollo de determinadas actividades económicas, a partir de información </w:t>
      </w:r>
      <w:proofErr w:type="spellStart"/>
      <w:r w:rsidRPr="00F43F6B">
        <w:rPr>
          <w:rFonts w:ascii="Arial Narrow" w:hAnsi="Arial Narrow"/>
          <w:sz w:val="28"/>
          <w:szCs w:val="28"/>
        </w:rPr>
        <w:t>autodeclarada</w:t>
      </w:r>
      <w:proofErr w:type="spellEnd"/>
      <w:r w:rsidRPr="00F43F6B">
        <w:rPr>
          <w:rFonts w:ascii="Arial Narrow" w:hAnsi="Arial Narrow"/>
          <w:sz w:val="28"/>
          <w:szCs w:val="28"/>
        </w:rPr>
        <w:t xml:space="preserve"> por individuos dentro de cada actividad económica</w:t>
      </w:r>
      <w:r w:rsidR="00F43F6B">
        <w:rPr>
          <w:rFonts w:ascii="Arial Narrow" w:hAnsi="Arial Narrow"/>
          <w:sz w:val="28"/>
          <w:szCs w:val="28"/>
        </w:rPr>
        <w:t xml:space="preserve"> y</w:t>
      </w:r>
      <w:r w:rsidRPr="00F43F6B">
        <w:rPr>
          <w:rFonts w:ascii="Arial Narrow" w:hAnsi="Arial Narrow"/>
          <w:sz w:val="28"/>
          <w:szCs w:val="28"/>
        </w:rPr>
        <w:t xml:space="preserve"> contenida en información tributaria correspondiente al año fiscal de 2017.</w:t>
      </w:r>
    </w:p>
    <w:p w14:paraId="196B6159" w14:textId="77777777" w:rsidR="0037215E" w:rsidRPr="00F43F6B" w:rsidRDefault="00311426" w:rsidP="0037215E">
      <w:pPr>
        <w:pStyle w:val="Prrafodelista"/>
        <w:numPr>
          <w:ilvl w:val="0"/>
          <w:numId w:val="4"/>
        </w:numPr>
        <w:jc w:val="both"/>
        <w:rPr>
          <w:rFonts w:ascii="Arial Narrow" w:hAnsi="Arial Narrow"/>
          <w:sz w:val="28"/>
          <w:szCs w:val="28"/>
        </w:rPr>
      </w:pPr>
      <w:r w:rsidRPr="00F43F6B">
        <w:rPr>
          <w:rFonts w:ascii="Arial Narrow" w:hAnsi="Arial Narrow"/>
          <w:b/>
          <w:sz w:val="28"/>
          <w:szCs w:val="28"/>
        </w:rPr>
        <w:t xml:space="preserve">Propuesta </w:t>
      </w:r>
      <w:proofErr w:type="gramStart"/>
      <w:r w:rsidRPr="00F43F6B">
        <w:rPr>
          <w:rFonts w:ascii="Arial Narrow" w:hAnsi="Arial Narrow"/>
          <w:b/>
          <w:sz w:val="28"/>
          <w:szCs w:val="28"/>
        </w:rPr>
        <w:t>Metodológica.—</w:t>
      </w:r>
      <w:proofErr w:type="gramEnd"/>
      <w:r w:rsidRPr="00F43F6B">
        <w:rPr>
          <w:rFonts w:ascii="Arial Narrow" w:hAnsi="Arial Narrow"/>
          <w:sz w:val="28"/>
          <w:szCs w:val="28"/>
        </w:rPr>
        <w:t xml:space="preserve"> </w:t>
      </w:r>
      <w:r w:rsidR="0032756D" w:rsidRPr="00F43F6B">
        <w:rPr>
          <w:rFonts w:ascii="Arial Narrow" w:hAnsi="Arial Narrow"/>
          <w:sz w:val="28"/>
          <w:szCs w:val="28"/>
        </w:rPr>
        <w:t>En</w:t>
      </w:r>
      <w:r w:rsidR="00F43F6B">
        <w:rPr>
          <w:rFonts w:ascii="Arial Narrow" w:hAnsi="Arial Narrow"/>
          <w:sz w:val="28"/>
          <w:szCs w:val="28"/>
        </w:rPr>
        <w:t xml:space="preserve">tre tanto </w:t>
      </w:r>
      <w:r w:rsidR="0032756D" w:rsidRPr="00F43F6B">
        <w:rPr>
          <w:rFonts w:ascii="Arial Narrow" w:hAnsi="Arial Narrow"/>
          <w:sz w:val="28"/>
          <w:szCs w:val="28"/>
        </w:rPr>
        <w:t>se dispone de estudios sectoriales completos</w:t>
      </w:r>
      <w:r w:rsidR="00F43F6B">
        <w:rPr>
          <w:rFonts w:ascii="Arial Narrow" w:hAnsi="Arial Narrow"/>
          <w:sz w:val="28"/>
          <w:szCs w:val="28"/>
        </w:rPr>
        <w:t xml:space="preserve"> de los cuales puedan derivarse los porcentajes de costos representativos de cada actividad</w:t>
      </w:r>
      <w:r w:rsidR="0032756D" w:rsidRPr="00F43F6B">
        <w:rPr>
          <w:rFonts w:ascii="Arial Narrow" w:hAnsi="Arial Narrow"/>
          <w:sz w:val="28"/>
          <w:szCs w:val="28"/>
        </w:rPr>
        <w:t xml:space="preserve">, la UGPP propone la </w:t>
      </w:r>
      <w:r w:rsidR="00F43F6B">
        <w:rPr>
          <w:rFonts w:ascii="Arial Narrow" w:hAnsi="Arial Narrow"/>
          <w:sz w:val="28"/>
          <w:szCs w:val="28"/>
        </w:rPr>
        <w:t>estimación</w:t>
      </w:r>
      <w:r w:rsidR="0032756D" w:rsidRPr="00F43F6B">
        <w:rPr>
          <w:rFonts w:ascii="Arial Narrow" w:hAnsi="Arial Narrow"/>
          <w:sz w:val="28"/>
          <w:szCs w:val="28"/>
        </w:rPr>
        <w:t xml:space="preserve"> de coeficientes de costos para la mayor cantidad posible de actividades económicas identificables de modo unívoco </w:t>
      </w:r>
      <w:r w:rsidR="00F43F6B">
        <w:rPr>
          <w:rFonts w:ascii="Arial Narrow" w:hAnsi="Arial Narrow"/>
          <w:sz w:val="28"/>
          <w:szCs w:val="28"/>
        </w:rPr>
        <w:t>mediante</w:t>
      </w:r>
      <w:r w:rsidR="0032756D" w:rsidRPr="00F43F6B">
        <w:rPr>
          <w:rFonts w:ascii="Arial Narrow" w:hAnsi="Arial Narrow"/>
          <w:sz w:val="28"/>
          <w:szCs w:val="28"/>
        </w:rPr>
        <w:t xml:space="preserve"> una aproximación estadística basada en </w:t>
      </w:r>
      <w:r w:rsidR="00F43F6B">
        <w:rPr>
          <w:rFonts w:ascii="Arial Narrow" w:hAnsi="Arial Narrow"/>
          <w:sz w:val="28"/>
          <w:szCs w:val="28"/>
        </w:rPr>
        <w:t xml:space="preserve">información de las </w:t>
      </w:r>
      <w:r w:rsidR="0032756D" w:rsidRPr="00F43F6B">
        <w:rPr>
          <w:rFonts w:ascii="Arial Narrow" w:hAnsi="Arial Narrow"/>
          <w:sz w:val="28"/>
          <w:szCs w:val="28"/>
        </w:rPr>
        <w:t xml:space="preserve">declaraciones tributarias de la vigencia fiscal de 2017 de individuos que registran ingresos como independientes. </w:t>
      </w:r>
      <w:r w:rsidR="0037215E" w:rsidRPr="00F43F6B">
        <w:rPr>
          <w:rFonts w:ascii="Arial Narrow" w:hAnsi="Arial Narrow"/>
          <w:sz w:val="28"/>
          <w:szCs w:val="28"/>
        </w:rPr>
        <w:t xml:space="preserve">Las presunciones de costos a obtener deben ser </w:t>
      </w:r>
      <w:r w:rsidR="00F43F6B">
        <w:rPr>
          <w:rFonts w:ascii="Arial Narrow" w:hAnsi="Arial Narrow"/>
          <w:sz w:val="28"/>
          <w:szCs w:val="28"/>
        </w:rPr>
        <w:t>coherentes con</w:t>
      </w:r>
      <w:r w:rsidR="0037215E" w:rsidRPr="00F43F6B">
        <w:rPr>
          <w:rFonts w:ascii="Arial Narrow" w:hAnsi="Arial Narrow"/>
          <w:sz w:val="28"/>
          <w:szCs w:val="28"/>
        </w:rPr>
        <w:t xml:space="preserve"> tres principios esenciales</w:t>
      </w:r>
      <w:r w:rsidR="00F43F6B">
        <w:rPr>
          <w:rFonts w:ascii="Arial Narrow" w:hAnsi="Arial Narrow"/>
          <w:sz w:val="28"/>
          <w:szCs w:val="28"/>
        </w:rPr>
        <w:t xml:space="preserve"> que deben observar las expensas a descontar,</w:t>
      </w:r>
      <w:r w:rsidR="0037215E" w:rsidRPr="00F43F6B">
        <w:rPr>
          <w:rFonts w:ascii="Arial Narrow" w:hAnsi="Arial Narrow"/>
          <w:sz w:val="28"/>
          <w:szCs w:val="28"/>
        </w:rPr>
        <w:t xml:space="preserve"> </w:t>
      </w:r>
      <w:r w:rsidR="00F43F6B">
        <w:rPr>
          <w:rFonts w:ascii="Arial Narrow" w:hAnsi="Arial Narrow"/>
          <w:sz w:val="28"/>
          <w:szCs w:val="28"/>
        </w:rPr>
        <w:t xml:space="preserve">descritos </w:t>
      </w:r>
      <w:r w:rsidR="0037215E" w:rsidRPr="00F43F6B">
        <w:rPr>
          <w:rFonts w:ascii="Arial Narrow" w:hAnsi="Arial Narrow"/>
          <w:sz w:val="28"/>
          <w:szCs w:val="28"/>
        </w:rPr>
        <w:t>en el artículo 107 del estatuto tributario:</w:t>
      </w:r>
    </w:p>
    <w:p w14:paraId="47825F9C" w14:textId="77777777" w:rsidR="0037215E" w:rsidRPr="00F43F6B" w:rsidRDefault="0037215E" w:rsidP="0037215E">
      <w:pPr>
        <w:pStyle w:val="Prrafodelista"/>
        <w:ind w:left="360"/>
        <w:jc w:val="both"/>
        <w:rPr>
          <w:rFonts w:ascii="Arial Narrow" w:hAnsi="Arial Narrow"/>
          <w:sz w:val="28"/>
          <w:szCs w:val="28"/>
        </w:rPr>
      </w:pPr>
    </w:p>
    <w:p w14:paraId="6F9ABA10" w14:textId="77777777" w:rsidR="009F5632" w:rsidRPr="00F43F6B" w:rsidRDefault="0037215E" w:rsidP="00F43F6B">
      <w:pPr>
        <w:pStyle w:val="Prrafodelista"/>
        <w:ind w:left="851" w:right="333"/>
        <w:jc w:val="both"/>
        <w:rPr>
          <w:rFonts w:ascii="Arial Narrow" w:hAnsi="Arial Narrow"/>
          <w:sz w:val="28"/>
          <w:szCs w:val="28"/>
        </w:rPr>
      </w:pPr>
      <w:r w:rsidRPr="00F43F6B">
        <w:rPr>
          <w:rFonts w:ascii="Arial Narrow" w:hAnsi="Arial Narrow"/>
          <w:sz w:val="28"/>
          <w:szCs w:val="28"/>
        </w:rPr>
        <w:t>«</w:t>
      </w:r>
      <w:r w:rsidRPr="00F43F6B">
        <w:rPr>
          <w:rFonts w:ascii="Arial Narrow" w:hAnsi="Arial Narrow"/>
          <w:b/>
          <w:i/>
          <w:sz w:val="28"/>
          <w:szCs w:val="28"/>
        </w:rPr>
        <w:t>Art. 107. Las expensas necesarias son deducibles</w:t>
      </w:r>
      <w:r w:rsidRPr="00F43F6B">
        <w:rPr>
          <w:rFonts w:ascii="Arial Narrow" w:hAnsi="Arial Narrow"/>
          <w:i/>
          <w:sz w:val="28"/>
          <w:szCs w:val="28"/>
        </w:rPr>
        <w:t xml:space="preserve">. Son deducibles las expensas realizadas durante el año o período gravable en el desarrollo de cualquier actividad productora de renta, siempre que tengan relación de </w:t>
      </w:r>
      <w:r w:rsidRPr="00F43F6B">
        <w:rPr>
          <w:rFonts w:ascii="Arial Narrow" w:hAnsi="Arial Narrow"/>
          <w:b/>
          <w:i/>
          <w:sz w:val="28"/>
          <w:szCs w:val="28"/>
        </w:rPr>
        <w:t>causalidad</w:t>
      </w:r>
      <w:r w:rsidRPr="00F43F6B">
        <w:rPr>
          <w:rFonts w:ascii="Arial Narrow" w:hAnsi="Arial Narrow"/>
          <w:i/>
          <w:sz w:val="28"/>
          <w:szCs w:val="28"/>
        </w:rPr>
        <w:t xml:space="preserve"> con las actividades productoras de renta y que sean </w:t>
      </w:r>
      <w:r w:rsidRPr="00F43F6B">
        <w:rPr>
          <w:rFonts w:ascii="Arial Narrow" w:hAnsi="Arial Narrow"/>
          <w:b/>
          <w:i/>
          <w:sz w:val="28"/>
          <w:szCs w:val="28"/>
        </w:rPr>
        <w:t>necesarias</w:t>
      </w:r>
      <w:r w:rsidRPr="00F43F6B">
        <w:rPr>
          <w:rFonts w:ascii="Arial Narrow" w:hAnsi="Arial Narrow"/>
          <w:i/>
          <w:sz w:val="28"/>
          <w:szCs w:val="28"/>
        </w:rPr>
        <w:t xml:space="preserve"> y </w:t>
      </w:r>
      <w:r w:rsidRPr="00F43F6B">
        <w:rPr>
          <w:rFonts w:ascii="Arial Narrow" w:hAnsi="Arial Narrow"/>
          <w:b/>
          <w:i/>
          <w:sz w:val="28"/>
          <w:szCs w:val="28"/>
        </w:rPr>
        <w:t>proporcionadas</w:t>
      </w:r>
      <w:r w:rsidRPr="00F43F6B">
        <w:rPr>
          <w:rFonts w:ascii="Arial Narrow" w:hAnsi="Arial Narrow"/>
          <w:i/>
          <w:sz w:val="28"/>
          <w:szCs w:val="28"/>
        </w:rPr>
        <w:t xml:space="preserve"> de acuerdo con </w:t>
      </w:r>
      <w:r w:rsidRPr="00F43F6B">
        <w:rPr>
          <w:rFonts w:ascii="Arial Narrow" w:hAnsi="Arial Narrow"/>
          <w:b/>
          <w:i/>
          <w:sz w:val="28"/>
          <w:szCs w:val="28"/>
        </w:rPr>
        <w:t>cada actividad</w:t>
      </w:r>
      <w:r w:rsidRPr="00F43F6B">
        <w:rPr>
          <w:rFonts w:ascii="Arial Narrow" w:hAnsi="Arial Narrow"/>
          <w:i/>
          <w:sz w:val="28"/>
          <w:szCs w:val="28"/>
        </w:rPr>
        <w:t xml:space="preserve">. La necesidad y proporcionalidad de las expensas debe determinarse con </w:t>
      </w:r>
      <w:r w:rsidRPr="00F43F6B">
        <w:rPr>
          <w:rFonts w:ascii="Arial Narrow" w:hAnsi="Arial Narrow"/>
          <w:b/>
          <w:i/>
          <w:sz w:val="28"/>
          <w:szCs w:val="28"/>
        </w:rPr>
        <w:t>criterio comercial</w:t>
      </w:r>
      <w:r w:rsidRPr="00F43F6B">
        <w:rPr>
          <w:rFonts w:ascii="Arial Narrow" w:hAnsi="Arial Narrow"/>
          <w:i/>
          <w:sz w:val="28"/>
          <w:szCs w:val="28"/>
        </w:rPr>
        <w:t>, teniendo en cuenta las normalmente acostumbradas en cada actividad y las limitaciones establecidas en los artículos siguientes</w:t>
      </w:r>
      <w:r w:rsidRPr="00F43F6B">
        <w:rPr>
          <w:rFonts w:ascii="Arial Narrow" w:hAnsi="Arial Narrow"/>
          <w:sz w:val="28"/>
          <w:szCs w:val="28"/>
        </w:rPr>
        <w:t>.»</w:t>
      </w:r>
    </w:p>
    <w:p w14:paraId="1DE0E237" w14:textId="77777777" w:rsidR="0037215E" w:rsidRPr="00F43F6B" w:rsidRDefault="0037215E" w:rsidP="0037215E">
      <w:pPr>
        <w:pStyle w:val="Prrafodelista"/>
        <w:ind w:left="360"/>
        <w:jc w:val="both"/>
        <w:rPr>
          <w:rFonts w:ascii="Arial Narrow" w:hAnsi="Arial Narrow"/>
          <w:sz w:val="28"/>
          <w:szCs w:val="28"/>
        </w:rPr>
      </w:pPr>
    </w:p>
    <w:p w14:paraId="575308C2" w14:textId="77777777" w:rsidR="006A0C32" w:rsidRPr="00F43F6B" w:rsidRDefault="00CD17B7" w:rsidP="0037215E">
      <w:pPr>
        <w:pStyle w:val="Prrafodelista"/>
        <w:ind w:left="360"/>
        <w:jc w:val="both"/>
        <w:rPr>
          <w:rFonts w:ascii="Arial Narrow" w:hAnsi="Arial Narrow"/>
          <w:sz w:val="28"/>
          <w:szCs w:val="28"/>
        </w:rPr>
      </w:pPr>
      <w:r w:rsidRPr="00F43F6B">
        <w:rPr>
          <w:rFonts w:ascii="Arial Narrow" w:hAnsi="Arial Narrow"/>
          <w:sz w:val="28"/>
          <w:szCs w:val="28"/>
        </w:rPr>
        <w:lastRenderedPageBreak/>
        <w:t>En la presente propuesta, e</w:t>
      </w:r>
      <w:r w:rsidR="0037215E" w:rsidRPr="00F43F6B">
        <w:rPr>
          <w:rFonts w:ascii="Arial Narrow" w:hAnsi="Arial Narrow"/>
          <w:sz w:val="28"/>
          <w:szCs w:val="28"/>
        </w:rPr>
        <w:t>stos costos provienen de información suministrada por el declarante de renta o bien, se deriva de lo que al respecto informan sus pares, información que se resume con modelos de regresión en el que se calcula el promedio de la relación costo a ingreso. Puesto que se reconoce que, además a las relativas a la actividad económica pueden existir diferencias relativas a la localización regional y al tamaño del negocio, estas estimaciones deberían entenderse como promedios ponderados, i.e., que se informan de las diferencias sectoriales, regionales y de tamaño de planta, de las relaciones costos a ingresos brutos que se derivan directamente de las declaraciones de renta de los individuos involucrados en cada actividad económica.</w:t>
      </w:r>
      <w:r w:rsidR="006A0C32" w:rsidRPr="00F43F6B">
        <w:rPr>
          <w:rFonts w:ascii="Arial Narrow" w:hAnsi="Arial Narrow"/>
          <w:sz w:val="28"/>
          <w:szCs w:val="28"/>
        </w:rPr>
        <w:t xml:space="preserve"> </w:t>
      </w:r>
    </w:p>
    <w:p w14:paraId="2783DDD5" w14:textId="77777777" w:rsidR="006A0C32" w:rsidRPr="00F43F6B" w:rsidRDefault="006A0C32" w:rsidP="0037215E">
      <w:pPr>
        <w:pStyle w:val="Prrafodelista"/>
        <w:ind w:left="360"/>
        <w:jc w:val="both"/>
        <w:rPr>
          <w:rFonts w:ascii="Arial Narrow" w:hAnsi="Arial Narrow"/>
          <w:sz w:val="28"/>
          <w:szCs w:val="28"/>
        </w:rPr>
      </w:pPr>
    </w:p>
    <w:p w14:paraId="08E208AD" w14:textId="77777777" w:rsidR="0037215E" w:rsidRPr="00F43F6B" w:rsidRDefault="006A0C32" w:rsidP="0037215E">
      <w:pPr>
        <w:pStyle w:val="Prrafodelista"/>
        <w:ind w:left="360"/>
        <w:jc w:val="both"/>
        <w:rPr>
          <w:rFonts w:ascii="Arial Narrow" w:hAnsi="Arial Narrow"/>
          <w:sz w:val="28"/>
          <w:szCs w:val="28"/>
        </w:rPr>
      </w:pPr>
      <w:r w:rsidRPr="00F43F6B">
        <w:rPr>
          <w:rFonts w:ascii="Arial Narrow" w:hAnsi="Arial Narrow"/>
          <w:sz w:val="28"/>
          <w:szCs w:val="28"/>
        </w:rPr>
        <w:t xml:space="preserve">En este sentido, las presunciones de costos se estiman utilizando modelos econométricos que miden el promedio del porcentaje que los costos representan frente al ingreso, </w:t>
      </w:r>
      <w:r w:rsidR="00F43F6B">
        <w:rPr>
          <w:rFonts w:ascii="Arial Narrow" w:hAnsi="Arial Narrow"/>
          <w:sz w:val="28"/>
          <w:szCs w:val="28"/>
        </w:rPr>
        <w:t xml:space="preserve">controlando por </w:t>
      </w:r>
      <w:r w:rsidRPr="00F43F6B">
        <w:rPr>
          <w:rFonts w:ascii="Arial Narrow" w:hAnsi="Arial Narrow"/>
          <w:sz w:val="28"/>
          <w:szCs w:val="28"/>
        </w:rPr>
        <w:t>la localización por departamento y al tamaño de la planta (o potencial productivo), medido a través de deciles de ingresos brutos. Las estimaciones se realizan por grupo de actividad económica.</w:t>
      </w:r>
    </w:p>
    <w:p w14:paraId="62739595" w14:textId="77777777" w:rsidR="002B02C7" w:rsidRPr="00F43F6B" w:rsidRDefault="002B02C7" w:rsidP="0037215E">
      <w:pPr>
        <w:pStyle w:val="Prrafodelista"/>
        <w:ind w:left="360"/>
        <w:jc w:val="both"/>
        <w:rPr>
          <w:rFonts w:ascii="Arial Narrow" w:hAnsi="Arial Narrow"/>
          <w:sz w:val="28"/>
          <w:szCs w:val="28"/>
        </w:rPr>
      </w:pPr>
    </w:p>
    <w:p w14:paraId="073E72F0" w14:textId="77777777" w:rsidR="002B02C7" w:rsidRDefault="00DA5DAD" w:rsidP="002B02C7">
      <w:pPr>
        <w:pStyle w:val="Prrafodelista"/>
        <w:numPr>
          <w:ilvl w:val="0"/>
          <w:numId w:val="6"/>
        </w:numPr>
        <w:jc w:val="both"/>
        <w:rPr>
          <w:rFonts w:ascii="Arial Narrow" w:hAnsi="Arial Narrow"/>
          <w:sz w:val="28"/>
          <w:szCs w:val="28"/>
        </w:rPr>
      </w:pPr>
      <w:r w:rsidRPr="00F43F6B">
        <w:rPr>
          <w:rFonts w:ascii="Arial Narrow" w:hAnsi="Arial Narrow"/>
          <w:b/>
          <w:sz w:val="28"/>
          <w:szCs w:val="28"/>
        </w:rPr>
        <w:t>Generalidades</w:t>
      </w:r>
      <w:r w:rsidR="002B02C7" w:rsidRPr="00F43F6B">
        <w:rPr>
          <w:rFonts w:ascii="Arial Narrow" w:hAnsi="Arial Narrow"/>
          <w:b/>
          <w:sz w:val="28"/>
          <w:szCs w:val="28"/>
        </w:rPr>
        <w:t>.―</w:t>
      </w:r>
      <w:r w:rsidR="002B02C7" w:rsidRPr="00F43F6B">
        <w:rPr>
          <w:rFonts w:ascii="Arial Narrow" w:hAnsi="Arial Narrow"/>
          <w:sz w:val="28"/>
          <w:szCs w:val="28"/>
        </w:rPr>
        <w:t xml:space="preserve"> </w:t>
      </w:r>
      <w:r w:rsidR="00CB73BF" w:rsidRPr="00F43F6B">
        <w:rPr>
          <w:rFonts w:ascii="Arial Narrow" w:hAnsi="Arial Narrow"/>
          <w:sz w:val="28"/>
          <w:szCs w:val="28"/>
        </w:rPr>
        <w:t>Se mide</w:t>
      </w:r>
      <w:r w:rsidR="002B02C7" w:rsidRPr="00F43F6B">
        <w:rPr>
          <w:rFonts w:ascii="Arial Narrow" w:hAnsi="Arial Narrow"/>
          <w:sz w:val="28"/>
          <w:szCs w:val="28"/>
        </w:rPr>
        <w:t xml:space="preserve"> por grupos de actividad económica, el porcentaje que los costos representan frente al Ingreso No Laboral Bruto según información registrada por el obligado </w:t>
      </w:r>
      <w:r w:rsidR="002B02C7" w:rsidRPr="00F43F6B">
        <w:rPr>
          <w:rFonts w:ascii="Cambria Math" w:hAnsi="Cambria Math" w:cs="Cambria Math"/>
          <w:sz w:val="28"/>
          <w:szCs w:val="28"/>
        </w:rPr>
        <w:t>𝑖</w:t>
      </w:r>
      <w:r w:rsidR="002B02C7" w:rsidRPr="00F43F6B">
        <w:rPr>
          <w:rFonts w:ascii="Arial Narrow" w:hAnsi="Arial Narrow"/>
          <w:sz w:val="28"/>
          <w:szCs w:val="28"/>
        </w:rPr>
        <w:t xml:space="preserve"> en su declaración de renta del año 2017. En particular, la información proviene de las declaraciones diligenciadas mediante el formato 210, y que aparece consignada en la cédula de Ingresos no Laborales, según se ilustra en la figura </w:t>
      </w:r>
      <w:r w:rsidR="00EA7F9D" w:rsidRPr="00F43F6B">
        <w:rPr>
          <w:rFonts w:ascii="Arial Narrow" w:hAnsi="Arial Narrow"/>
          <w:sz w:val="28"/>
          <w:szCs w:val="28"/>
        </w:rPr>
        <w:t xml:space="preserve">1 </w:t>
      </w:r>
      <w:r w:rsidR="002B02C7" w:rsidRPr="00F43F6B">
        <w:rPr>
          <w:rFonts w:ascii="Arial Narrow" w:hAnsi="Arial Narrow"/>
          <w:sz w:val="28"/>
          <w:szCs w:val="28"/>
        </w:rPr>
        <w:t>a continuación:</w:t>
      </w:r>
    </w:p>
    <w:p w14:paraId="01CC13B1" w14:textId="77777777" w:rsidR="00EA7F9D" w:rsidRPr="00F43F6B" w:rsidRDefault="00EA7F9D" w:rsidP="00EA7F9D">
      <w:pPr>
        <w:jc w:val="center"/>
        <w:rPr>
          <w:rFonts w:ascii="Arial Narrow" w:hAnsi="Arial Narrow"/>
          <w:sz w:val="28"/>
          <w:szCs w:val="28"/>
        </w:rPr>
      </w:pPr>
      <w:r w:rsidRPr="00F43F6B">
        <w:rPr>
          <w:rFonts w:ascii="Arial Narrow" w:hAnsi="Arial Narrow"/>
          <w:sz w:val="28"/>
          <w:szCs w:val="28"/>
        </w:rPr>
        <w:t xml:space="preserve">Figura 1.― Ingresos No Laborales. Formulario de renta 2010, </w:t>
      </w:r>
      <w:r w:rsidR="00CF776A">
        <w:rPr>
          <w:rFonts w:ascii="Arial Narrow" w:hAnsi="Arial Narrow"/>
          <w:sz w:val="28"/>
          <w:szCs w:val="28"/>
        </w:rPr>
        <w:t>V</w:t>
      </w:r>
      <w:r w:rsidRPr="00F43F6B">
        <w:rPr>
          <w:rFonts w:ascii="Arial Narrow" w:hAnsi="Arial Narrow"/>
          <w:sz w:val="28"/>
          <w:szCs w:val="28"/>
        </w:rPr>
        <w:t xml:space="preserve">igencia </w:t>
      </w:r>
      <w:r w:rsidR="00CF776A">
        <w:rPr>
          <w:rFonts w:ascii="Arial Narrow" w:hAnsi="Arial Narrow"/>
          <w:sz w:val="28"/>
          <w:szCs w:val="28"/>
        </w:rPr>
        <w:t>F</w:t>
      </w:r>
      <w:r w:rsidRPr="00F43F6B">
        <w:rPr>
          <w:rFonts w:ascii="Arial Narrow" w:hAnsi="Arial Narrow"/>
          <w:sz w:val="28"/>
          <w:szCs w:val="28"/>
        </w:rPr>
        <w:t>iscal 2017</w:t>
      </w:r>
    </w:p>
    <w:p w14:paraId="0D1C311D" w14:textId="77777777" w:rsidR="002B02C7" w:rsidRPr="00F43F6B" w:rsidRDefault="002B02C7" w:rsidP="00CF776A">
      <w:pPr>
        <w:spacing w:after="0"/>
        <w:jc w:val="center"/>
        <w:rPr>
          <w:rFonts w:ascii="Arial Narrow" w:hAnsi="Arial Narrow"/>
          <w:sz w:val="28"/>
          <w:szCs w:val="28"/>
        </w:rPr>
      </w:pPr>
      <w:r w:rsidRPr="00F43F6B">
        <w:rPr>
          <w:rFonts w:ascii="Arial Narrow" w:hAnsi="Arial Narrow"/>
          <w:noProof/>
          <w:sz w:val="28"/>
          <w:szCs w:val="28"/>
          <w:lang w:eastAsia="es-CO"/>
        </w:rPr>
        <w:drawing>
          <wp:inline distT="0" distB="0" distL="0" distR="0" wp14:anchorId="29AB3EEB" wp14:editId="29998E12">
            <wp:extent cx="3509605" cy="2075153"/>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70" b="-670"/>
                    <a:stretch/>
                  </pic:blipFill>
                  <pic:spPr bwMode="auto">
                    <a:xfrm>
                      <a:off x="0" y="0"/>
                      <a:ext cx="3512692" cy="2076978"/>
                    </a:xfrm>
                    <a:prstGeom prst="rect">
                      <a:avLst/>
                    </a:prstGeom>
                    <a:noFill/>
                    <a:ln>
                      <a:noFill/>
                    </a:ln>
                    <a:extLst>
                      <a:ext uri="{53640926-AAD7-44D8-BBD7-CCE9431645EC}">
                        <a14:shadowObscured xmlns:a14="http://schemas.microsoft.com/office/drawing/2010/main"/>
                      </a:ext>
                    </a:extLst>
                  </pic:spPr>
                </pic:pic>
              </a:graphicData>
            </a:graphic>
          </wp:inline>
        </w:drawing>
      </w:r>
    </w:p>
    <w:p w14:paraId="0D94E7C7" w14:textId="77777777" w:rsidR="002B02C7" w:rsidRPr="00DC1EE1" w:rsidRDefault="002B02C7" w:rsidP="002B02C7">
      <w:pPr>
        <w:jc w:val="center"/>
        <w:rPr>
          <w:rFonts w:ascii="Arial Narrow" w:hAnsi="Arial Narrow"/>
          <w:sz w:val="20"/>
          <w:szCs w:val="28"/>
        </w:rPr>
      </w:pPr>
      <w:r w:rsidRPr="00DC1EE1">
        <w:rPr>
          <w:rFonts w:ascii="Arial Narrow" w:hAnsi="Arial Narrow"/>
          <w:sz w:val="20"/>
          <w:szCs w:val="28"/>
        </w:rPr>
        <w:t>Fuente: DIAN, Formulario Renta 201 (2017)</w:t>
      </w:r>
    </w:p>
    <w:p w14:paraId="248C7748" w14:textId="77777777" w:rsidR="00914E99" w:rsidRPr="00F43F6B" w:rsidRDefault="00914E99" w:rsidP="00914E99">
      <w:pPr>
        <w:ind w:left="708"/>
        <w:jc w:val="both"/>
        <w:rPr>
          <w:rFonts w:ascii="Arial Narrow" w:hAnsi="Arial Narrow"/>
          <w:sz w:val="28"/>
          <w:szCs w:val="28"/>
        </w:rPr>
      </w:pPr>
      <w:r w:rsidRPr="00F43F6B">
        <w:rPr>
          <w:rFonts w:ascii="Arial Narrow" w:hAnsi="Arial Narrow"/>
          <w:sz w:val="28"/>
          <w:szCs w:val="28"/>
        </w:rPr>
        <w:lastRenderedPageBreak/>
        <w:t xml:space="preserve">La </w:t>
      </w:r>
      <w:r w:rsidR="00A47BD1" w:rsidRPr="00F43F6B">
        <w:rPr>
          <w:rFonts w:ascii="Arial Narrow" w:hAnsi="Arial Narrow"/>
          <w:sz w:val="28"/>
          <w:szCs w:val="28"/>
        </w:rPr>
        <w:t>cédula</w:t>
      </w:r>
      <w:r w:rsidRPr="00F43F6B">
        <w:rPr>
          <w:rFonts w:ascii="Arial Narrow" w:hAnsi="Arial Narrow"/>
          <w:sz w:val="28"/>
          <w:szCs w:val="28"/>
        </w:rPr>
        <w:t xml:space="preserve"> de rentas no labora</w:t>
      </w:r>
      <w:r w:rsidR="00D54B75" w:rsidRPr="00F43F6B">
        <w:rPr>
          <w:rFonts w:ascii="Arial Narrow" w:hAnsi="Arial Narrow"/>
          <w:sz w:val="28"/>
          <w:szCs w:val="28"/>
        </w:rPr>
        <w:t>les del formulario contiene todo</w:t>
      </w:r>
      <w:r w:rsidRPr="00F43F6B">
        <w:rPr>
          <w:rFonts w:ascii="Arial Narrow" w:hAnsi="Arial Narrow"/>
          <w:sz w:val="28"/>
          <w:szCs w:val="28"/>
        </w:rPr>
        <w:t>s aquell</w:t>
      </w:r>
      <w:r w:rsidR="00D54B75" w:rsidRPr="00F43F6B">
        <w:rPr>
          <w:rFonts w:ascii="Arial Narrow" w:hAnsi="Arial Narrow"/>
          <w:sz w:val="28"/>
          <w:szCs w:val="28"/>
        </w:rPr>
        <w:t>o</w:t>
      </w:r>
      <w:r w:rsidRPr="00F43F6B">
        <w:rPr>
          <w:rFonts w:ascii="Arial Narrow" w:hAnsi="Arial Narrow"/>
          <w:sz w:val="28"/>
          <w:szCs w:val="28"/>
        </w:rPr>
        <w:t xml:space="preserve">s </w:t>
      </w:r>
      <w:r w:rsidR="00D54B75" w:rsidRPr="00F43F6B">
        <w:rPr>
          <w:rFonts w:ascii="Arial Narrow" w:hAnsi="Arial Narrow"/>
          <w:sz w:val="28"/>
          <w:szCs w:val="28"/>
        </w:rPr>
        <w:t xml:space="preserve">ingresos </w:t>
      </w:r>
      <w:r w:rsidRPr="00F43F6B">
        <w:rPr>
          <w:rFonts w:ascii="Arial Narrow" w:hAnsi="Arial Narrow"/>
          <w:sz w:val="28"/>
          <w:szCs w:val="28"/>
        </w:rPr>
        <w:t>que no se identifiquen en las demás cédulas que conforman el formulario (</w:t>
      </w:r>
      <w:r w:rsidR="00D54B75" w:rsidRPr="00F43F6B">
        <w:rPr>
          <w:rFonts w:ascii="Arial Narrow" w:hAnsi="Arial Narrow"/>
          <w:sz w:val="28"/>
          <w:szCs w:val="28"/>
        </w:rPr>
        <w:t xml:space="preserve">i.e., las cédulas correspondientes a las rentas </w:t>
      </w:r>
      <w:r w:rsidRPr="00F43F6B">
        <w:rPr>
          <w:rFonts w:ascii="Arial Narrow" w:hAnsi="Arial Narrow"/>
          <w:sz w:val="28"/>
          <w:szCs w:val="28"/>
        </w:rPr>
        <w:t xml:space="preserve">laborales, de pensiones, </w:t>
      </w:r>
      <w:r w:rsidR="00D54B75" w:rsidRPr="00F43F6B">
        <w:rPr>
          <w:rFonts w:ascii="Arial Narrow" w:hAnsi="Arial Narrow"/>
          <w:sz w:val="28"/>
          <w:szCs w:val="28"/>
        </w:rPr>
        <w:t xml:space="preserve">las </w:t>
      </w:r>
      <w:r w:rsidRPr="00F43F6B">
        <w:rPr>
          <w:rFonts w:ascii="Arial Narrow" w:hAnsi="Arial Narrow"/>
          <w:sz w:val="28"/>
          <w:szCs w:val="28"/>
        </w:rPr>
        <w:t xml:space="preserve">rentas de capital y </w:t>
      </w:r>
      <w:r w:rsidR="00D54B75" w:rsidRPr="00F43F6B">
        <w:rPr>
          <w:rFonts w:ascii="Arial Narrow" w:hAnsi="Arial Narrow"/>
          <w:sz w:val="28"/>
          <w:szCs w:val="28"/>
        </w:rPr>
        <w:t xml:space="preserve">las provenientes de </w:t>
      </w:r>
      <w:r w:rsidRPr="00F43F6B">
        <w:rPr>
          <w:rFonts w:ascii="Arial Narrow" w:hAnsi="Arial Narrow"/>
          <w:sz w:val="28"/>
          <w:szCs w:val="28"/>
        </w:rPr>
        <w:t xml:space="preserve">dividendos y participaciones). Se incluyen los honorarios de las personas naturales prestadoras de servicios que contraten por al menos noventa </w:t>
      </w:r>
      <w:r w:rsidR="00D54B75" w:rsidRPr="00F43F6B">
        <w:rPr>
          <w:rFonts w:ascii="Arial Narrow" w:hAnsi="Arial Narrow"/>
          <w:sz w:val="28"/>
          <w:szCs w:val="28"/>
        </w:rPr>
        <w:t xml:space="preserve">días a dos o más trabajadores. Se </w:t>
      </w:r>
      <w:r w:rsidR="002C1065" w:rsidRPr="00F43F6B">
        <w:rPr>
          <w:rFonts w:ascii="Arial Narrow" w:hAnsi="Arial Narrow"/>
          <w:sz w:val="28"/>
          <w:szCs w:val="28"/>
        </w:rPr>
        <w:t>incluyen</w:t>
      </w:r>
      <w:r w:rsidR="00D54B75" w:rsidRPr="00F43F6B">
        <w:rPr>
          <w:rFonts w:ascii="Arial Narrow" w:hAnsi="Arial Narrow"/>
          <w:sz w:val="28"/>
          <w:szCs w:val="28"/>
        </w:rPr>
        <w:t>, así mismo, los ingresos por servicios personales cuando la persona natural (i) incurra en costos y gastos necesarios de acuerdo con lo establecido en el artículo 107 del Estatuto Tributario; (ii) desarrolle su actividad con criterio empresarial y comercial «</w:t>
      </w:r>
      <w:r w:rsidR="00D54B75" w:rsidRPr="00F43F6B">
        <w:rPr>
          <w:rFonts w:ascii="Arial Narrow" w:hAnsi="Arial Narrow"/>
          <w:i/>
          <w:sz w:val="28"/>
          <w:szCs w:val="28"/>
        </w:rPr>
        <w:t>teniendo en cuenta lo normalmente acostumbrado en su respectiva actividad, tales como: asunción de pérdidas monetarias que resulten de la prestación del servicio, asunción de responsabilidades ante terceros por errores o fallas en la prestación del servicio</w:t>
      </w:r>
      <w:r w:rsidR="00D54B75" w:rsidRPr="00F43F6B">
        <w:rPr>
          <w:rFonts w:ascii="Arial Narrow" w:hAnsi="Arial Narrow"/>
          <w:sz w:val="28"/>
          <w:szCs w:val="28"/>
        </w:rPr>
        <w:t xml:space="preserve">»; (iii) Contratar a al menos dos o más trabajadores por noventa días o </w:t>
      </w:r>
      <w:r w:rsidR="00094CEA" w:rsidRPr="00F43F6B">
        <w:rPr>
          <w:rFonts w:ascii="Arial Narrow" w:hAnsi="Arial Narrow"/>
          <w:sz w:val="28"/>
          <w:szCs w:val="28"/>
        </w:rPr>
        <w:t>más</w:t>
      </w:r>
      <w:r w:rsidR="00D54B75" w:rsidRPr="00F43F6B">
        <w:rPr>
          <w:rFonts w:ascii="Arial Narrow" w:hAnsi="Arial Narrow"/>
          <w:sz w:val="28"/>
          <w:szCs w:val="28"/>
        </w:rPr>
        <w:t xml:space="preserve">. </w:t>
      </w:r>
    </w:p>
    <w:p w14:paraId="3BC8C003" w14:textId="77777777" w:rsidR="00A47BD1" w:rsidRPr="00F43F6B" w:rsidRDefault="00E32C97" w:rsidP="00914E99">
      <w:pPr>
        <w:ind w:left="708"/>
        <w:jc w:val="both"/>
        <w:rPr>
          <w:rFonts w:ascii="Arial Narrow" w:hAnsi="Arial Narrow"/>
          <w:sz w:val="28"/>
          <w:szCs w:val="28"/>
        </w:rPr>
      </w:pPr>
      <w:r w:rsidRPr="00F43F6B">
        <w:rPr>
          <w:rFonts w:ascii="Arial Narrow" w:hAnsi="Arial Narrow"/>
          <w:sz w:val="28"/>
          <w:szCs w:val="28"/>
        </w:rPr>
        <w:t>Los ingresos brutos se registran en l</w:t>
      </w:r>
      <w:r w:rsidR="007A2AC7" w:rsidRPr="00F43F6B">
        <w:rPr>
          <w:rFonts w:ascii="Arial Narrow" w:hAnsi="Arial Narrow"/>
          <w:sz w:val="28"/>
          <w:szCs w:val="28"/>
        </w:rPr>
        <w:t>a casilla 54</w:t>
      </w:r>
      <w:r w:rsidRPr="00F43F6B">
        <w:rPr>
          <w:rFonts w:ascii="Arial Narrow" w:hAnsi="Arial Narrow"/>
          <w:sz w:val="28"/>
          <w:szCs w:val="28"/>
        </w:rPr>
        <w:t xml:space="preserve"> del formulario</w:t>
      </w:r>
      <w:r w:rsidR="007A2AC7" w:rsidRPr="00F43F6B">
        <w:rPr>
          <w:rFonts w:ascii="Arial Narrow" w:hAnsi="Arial Narrow"/>
          <w:sz w:val="28"/>
          <w:szCs w:val="28"/>
        </w:rPr>
        <w:t>, incluidos los percibid</w:t>
      </w:r>
      <w:r w:rsidRPr="00F43F6B">
        <w:rPr>
          <w:rFonts w:ascii="Arial Narrow" w:hAnsi="Arial Narrow"/>
          <w:sz w:val="28"/>
          <w:szCs w:val="28"/>
        </w:rPr>
        <w:t>os por la enajenación de activo</w:t>
      </w:r>
      <w:r w:rsidR="007A2AC7" w:rsidRPr="00F43F6B">
        <w:rPr>
          <w:rFonts w:ascii="Arial Narrow" w:hAnsi="Arial Narrow"/>
          <w:sz w:val="28"/>
          <w:szCs w:val="28"/>
        </w:rPr>
        <w:t>s diferentes a los inventarios si fueron poseídos por m</w:t>
      </w:r>
      <w:r w:rsidRPr="00F43F6B">
        <w:rPr>
          <w:rFonts w:ascii="Arial Narrow" w:hAnsi="Arial Narrow"/>
          <w:sz w:val="28"/>
          <w:szCs w:val="28"/>
        </w:rPr>
        <w:t>á</w:t>
      </w:r>
      <w:r w:rsidR="007A2AC7" w:rsidRPr="00F43F6B">
        <w:rPr>
          <w:rFonts w:ascii="Arial Narrow" w:hAnsi="Arial Narrow"/>
          <w:sz w:val="28"/>
          <w:szCs w:val="28"/>
        </w:rPr>
        <w:t>s de dos años</w:t>
      </w:r>
      <w:r w:rsidRPr="00F43F6B">
        <w:rPr>
          <w:rFonts w:ascii="Arial Narrow" w:hAnsi="Arial Narrow"/>
          <w:sz w:val="28"/>
          <w:szCs w:val="28"/>
        </w:rPr>
        <w:t xml:space="preserve">, </w:t>
      </w:r>
      <w:r w:rsidR="007A2AC7" w:rsidRPr="00F43F6B">
        <w:rPr>
          <w:rFonts w:ascii="Arial Narrow" w:hAnsi="Arial Narrow"/>
          <w:sz w:val="28"/>
          <w:szCs w:val="28"/>
        </w:rPr>
        <w:t xml:space="preserve"> e</w:t>
      </w:r>
      <w:r w:rsidRPr="00F43F6B">
        <w:rPr>
          <w:rFonts w:ascii="Arial Narrow" w:hAnsi="Arial Narrow"/>
          <w:sz w:val="28"/>
          <w:szCs w:val="28"/>
        </w:rPr>
        <w:t xml:space="preserve"> </w:t>
      </w:r>
      <w:r w:rsidR="007A2AC7" w:rsidRPr="00F43F6B">
        <w:rPr>
          <w:rFonts w:ascii="Arial Narrow" w:hAnsi="Arial Narrow"/>
          <w:sz w:val="28"/>
          <w:szCs w:val="28"/>
        </w:rPr>
        <w:t xml:space="preserve">indemnizaciones, entre otros. </w:t>
      </w:r>
      <w:r w:rsidR="0095379F" w:rsidRPr="00F43F6B">
        <w:rPr>
          <w:rFonts w:ascii="Arial Narrow" w:hAnsi="Arial Narrow"/>
          <w:sz w:val="28"/>
          <w:szCs w:val="28"/>
        </w:rPr>
        <w:t>I</w:t>
      </w:r>
      <w:r w:rsidR="007A2AC7" w:rsidRPr="00F43F6B">
        <w:rPr>
          <w:rFonts w:ascii="Arial Narrow" w:hAnsi="Arial Narrow"/>
          <w:sz w:val="28"/>
          <w:szCs w:val="28"/>
        </w:rPr>
        <w:t xml:space="preserve">ncluye apoyos económicos no </w:t>
      </w:r>
      <w:r w:rsidR="0095379F" w:rsidRPr="00F43F6B">
        <w:rPr>
          <w:rFonts w:ascii="Arial Narrow" w:hAnsi="Arial Narrow"/>
          <w:sz w:val="28"/>
          <w:szCs w:val="28"/>
        </w:rPr>
        <w:t xml:space="preserve">reembolsables o condonados, entregados por el Estado o financiados con recursos públicos para financiar programas educativos entregados a la persona natural. Se registran además honorarios que no constituyan rentas laborales y pagos por servicios personales diferentes a rentas de trabajo e ingresos del exterior por rentas no laborales. En las casillas 55 y 56 se registran respectivamente la suma de las devoluciones, rebajas  descuentos y los ingresos no constitutivos de renta. Para efectos de la estimación de las presunciones de costos, la suma de estas dos casillas se debe restar de los ingresos brutos. Finalmente, en la casilla 57 se registran los costos y gastos procedentes que, de acuerdo con las disposiciones tributarias vigentes, comprenden el costo de ventas y los gastos en los que se incurre durante el proceso fabril asociados a la administración del negocio, originados en el desarrollo de la operación básica o principal de la empresa a saber: mano de obra, honorarios, impuestos, arrendamientos, contribuciones, seguros, servicios, regalías, asistencia técnica, otros servicios, investigación y desarrollo, reparaciones, depreciaciones. </w:t>
      </w:r>
      <w:r w:rsidR="000408EB" w:rsidRPr="00F43F6B">
        <w:rPr>
          <w:rFonts w:ascii="Arial Narrow" w:hAnsi="Arial Narrow"/>
          <w:sz w:val="28"/>
          <w:szCs w:val="28"/>
        </w:rPr>
        <w:t>Los</w:t>
      </w:r>
      <w:r w:rsidR="0095379F" w:rsidRPr="00F43F6B">
        <w:rPr>
          <w:rFonts w:ascii="Arial Narrow" w:hAnsi="Arial Narrow"/>
          <w:sz w:val="28"/>
          <w:szCs w:val="28"/>
        </w:rPr>
        <w:t xml:space="preserve"> </w:t>
      </w:r>
      <w:r w:rsidR="000408EB" w:rsidRPr="00F43F6B">
        <w:rPr>
          <w:rFonts w:ascii="Arial Narrow" w:hAnsi="Arial Narrow"/>
          <w:sz w:val="28"/>
          <w:szCs w:val="28"/>
        </w:rPr>
        <w:t xml:space="preserve">valores de los </w:t>
      </w:r>
      <w:r w:rsidR="0095379F" w:rsidRPr="00F43F6B">
        <w:rPr>
          <w:rFonts w:ascii="Arial Narrow" w:hAnsi="Arial Narrow"/>
          <w:sz w:val="28"/>
          <w:szCs w:val="28"/>
        </w:rPr>
        <w:t xml:space="preserve">costos que </w:t>
      </w:r>
      <w:r w:rsidR="000408EB" w:rsidRPr="00F43F6B">
        <w:rPr>
          <w:rFonts w:ascii="Arial Narrow" w:hAnsi="Arial Narrow"/>
          <w:sz w:val="28"/>
          <w:szCs w:val="28"/>
        </w:rPr>
        <w:t xml:space="preserve">se </w:t>
      </w:r>
      <w:r w:rsidR="000408EB" w:rsidRPr="00F43F6B">
        <w:rPr>
          <w:rFonts w:ascii="Arial Narrow" w:hAnsi="Arial Narrow"/>
          <w:sz w:val="28"/>
          <w:szCs w:val="28"/>
        </w:rPr>
        <w:lastRenderedPageBreak/>
        <w:t>registran son expensas necesarias, es decir, erogaciones «que tengan relación de causalidad, necesidad y proporcionalidad con la renta y cumplan los demás requisitos necesarios para su deducción»</w:t>
      </w:r>
      <w:r w:rsidR="00DA5DAD" w:rsidRPr="00F43F6B">
        <w:rPr>
          <w:rFonts w:ascii="Arial Narrow" w:hAnsi="Arial Narrow"/>
          <w:sz w:val="28"/>
          <w:szCs w:val="28"/>
        </w:rPr>
        <w:t>.</w:t>
      </w:r>
    </w:p>
    <w:p w14:paraId="1F7B13CA" w14:textId="77777777" w:rsidR="00DA5DAD" w:rsidRPr="00F43F6B" w:rsidRDefault="00DA5DAD" w:rsidP="00DA5DAD">
      <w:pPr>
        <w:pStyle w:val="Prrafodelista"/>
        <w:numPr>
          <w:ilvl w:val="0"/>
          <w:numId w:val="6"/>
        </w:numPr>
        <w:jc w:val="both"/>
        <w:rPr>
          <w:rFonts w:ascii="Arial Narrow" w:hAnsi="Arial Narrow"/>
          <w:sz w:val="28"/>
          <w:szCs w:val="28"/>
        </w:rPr>
      </w:pPr>
      <w:r w:rsidRPr="00F43F6B">
        <w:rPr>
          <w:rFonts w:ascii="Arial Narrow" w:hAnsi="Arial Narrow"/>
          <w:b/>
          <w:sz w:val="28"/>
          <w:szCs w:val="28"/>
        </w:rPr>
        <w:t>El Modelo.―</w:t>
      </w:r>
      <w:r w:rsidRPr="00F43F6B">
        <w:rPr>
          <w:rFonts w:ascii="Arial Narrow" w:hAnsi="Arial Narrow"/>
          <w:sz w:val="28"/>
          <w:szCs w:val="28"/>
        </w:rPr>
        <w:t xml:space="preserve"> La </w:t>
      </w:r>
      <w:r w:rsidR="00F82403">
        <w:rPr>
          <w:rFonts w:ascii="Arial Narrow" w:hAnsi="Arial Narrow"/>
          <w:sz w:val="28"/>
          <w:szCs w:val="28"/>
        </w:rPr>
        <w:t>estrategia de estimación</w:t>
      </w:r>
      <w:r w:rsidRPr="00F43F6B">
        <w:rPr>
          <w:rFonts w:ascii="Arial Narrow" w:hAnsi="Arial Narrow"/>
          <w:sz w:val="28"/>
          <w:szCs w:val="28"/>
        </w:rPr>
        <w:t xml:space="preserve"> consiste en generar mediciones representativas de las ratios Costos a Ingresos según grupos de actividad económica. Atendiendo el hecho de que pueden existir, además de las relacionadas con la actividad económica, diferencias relacionadas con el tamaño de planta y con la localización, se plantea tener en cuenta estas características para generar la medición propuesta que, de este modo son promedios representativos, </w:t>
      </w:r>
      <w:r w:rsidRPr="00F82403">
        <w:rPr>
          <w:rFonts w:ascii="Arial Narrow" w:hAnsi="Arial Narrow"/>
          <w:i/>
          <w:sz w:val="28"/>
          <w:szCs w:val="28"/>
        </w:rPr>
        <w:t>ponderados</w:t>
      </w:r>
      <w:r w:rsidRPr="00F43F6B">
        <w:rPr>
          <w:rFonts w:ascii="Arial Narrow" w:hAnsi="Arial Narrow"/>
          <w:sz w:val="28"/>
          <w:szCs w:val="28"/>
        </w:rPr>
        <w:t xml:space="preserve"> por el tamaño de la planta y la localización. En </w:t>
      </w:r>
      <w:r w:rsidR="00F82403">
        <w:rPr>
          <w:rFonts w:ascii="Arial Narrow" w:hAnsi="Arial Narrow"/>
          <w:sz w:val="28"/>
          <w:szCs w:val="28"/>
        </w:rPr>
        <w:t>general</w:t>
      </w:r>
      <w:r w:rsidRPr="00F43F6B">
        <w:rPr>
          <w:rFonts w:ascii="Arial Narrow" w:hAnsi="Arial Narrow"/>
          <w:sz w:val="28"/>
          <w:szCs w:val="28"/>
        </w:rPr>
        <w:t>, para u</w:t>
      </w:r>
      <w:r w:rsidR="00F25A7B" w:rsidRPr="00F43F6B">
        <w:rPr>
          <w:rFonts w:ascii="Arial Narrow" w:hAnsi="Arial Narrow"/>
          <w:sz w:val="28"/>
          <w:szCs w:val="28"/>
        </w:rPr>
        <w:t>n</w:t>
      </w:r>
      <w:r w:rsidRPr="00F43F6B">
        <w:rPr>
          <w:rFonts w:ascii="Arial Narrow" w:hAnsi="Arial Narrow"/>
          <w:sz w:val="28"/>
          <w:szCs w:val="28"/>
        </w:rPr>
        <w:t xml:space="preserve"> total de </w:t>
      </w:r>
      <m:oMath>
        <m:r>
          <w:rPr>
            <w:rFonts w:ascii="Cambria Math" w:hAnsi="Cambria Math"/>
            <w:sz w:val="28"/>
            <w:szCs w:val="28"/>
          </w:rPr>
          <m:t>i=1,…,m</m:t>
        </m:r>
      </m:oMath>
      <w:r w:rsidRPr="00F43F6B">
        <w:rPr>
          <w:rFonts w:ascii="Arial Narrow" w:eastAsiaTheme="minorEastAsia" w:hAnsi="Arial Narrow"/>
          <w:sz w:val="28"/>
          <w:szCs w:val="28"/>
        </w:rPr>
        <w:t xml:space="preserve"> diferentes </w:t>
      </w:r>
      <w:r w:rsidR="00F25A7B" w:rsidRPr="00F43F6B">
        <w:rPr>
          <w:rFonts w:ascii="Arial Narrow" w:eastAsiaTheme="minorEastAsia" w:hAnsi="Arial Narrow"/>
          <w:sz w:val="28"/>
          <w:szCs w:val="28"/>
        </w:rPr>
        <w:t xml:space="preserve">individuos que declararon renta en 2017, y para cada una de las </w:t>
      </w:r>
      <m:oMath>
        <m:r>
          <w:rPr>
            <w:rFonts w:ascii="Cambria Math" w:eastAsiaTheme="minorEastAsia" w:hAnsi="Cambria Math"/>
            <w:sz w:val="28"/>
            <w:szCs w:val="28"/>
          </w:rPr>
          <m:t>j=1,…,n</m:t>
        </m:r>
      </m:oMath>
      <w:r w:rsidR="00F25A7B" w:rsidRPr="00F43F6B">
        <w:rPr>
          <w:rFonts w:ascii="Arial Narrow" w:eastAsiaTheme="minorEastAsia" w:hAnsi="Arial Narrow"/>
          <w:sz w:val="28"/>
          <w:szCs w:val="28"/>
        </w:rPr>
        <w:t xml:space="preserve">  distintas actividades económicas, se considera la siguiente relación:</w:t>
      </w:r>
    </w:p>
    <w:p w14:paraId="4FB2DC56" w14:textId="77777777" w:rsidR="00F25A7B" w:rsidRPr="00F43F6B" w:rsidRDefault="002C6FBF" w:rsidP="00F25A7B">
      <w:pPr>
        <w:ind w:left="708"/>
        <w:jc w:val="center"/>
        <w:rPr>
          <w:rFonts w:ascii="Arial Narrow" w:eastAsiaTheme="minorEastAsia" w:hAnsi="Arial Narrow"/>
          <w:sz w:val="28"/>
          <w:szCs w:val="28"/>
        </w:rPr>
      </w:pPr>
      <m:oMathPara>
        <m:oMath>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ij</m:t>
              </m:r>
            </m:sub>
            <m:sup>
              <m:r>
                <w:rPr>
                  <w:rFonts w:ascii="Cambria Math" w:hAnsi="Cambria Math"/>
                  <w:sz w:val="28"/>
                  <w:szCs w:val="28"/>
                </w:rPr>
                <m:t>NLAB</m:t>
              </m:r>
            </m:sup>
          </m:sSubSup>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φ</m:t>
              </m:r>
            </m:e>
          </m:acc>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β</m:t>
              </m:r>
            </m:e>
            <m:sub>
              <m:r>
                <w:rPr>
                  <w:rFonts w:ascii="Cambria Math" w:hAnsi="Cambria Math"/>
                  <w:sz w:val="28"/>
                  <w:szCs w:val="28"/>
                </w:rPr>
                <m:t>kj</m:t>
              </m:r>
            </m:sub>
            <m:sup>
              <m:r>
                <w:rPr>
                  <w:rFonts w:ascii="Cambria Math" w:hAnsi="Cambria Math"/>
                  <w:sz w:val="28"/>
                  <w:szCs w:val="28"/>
                </w:rPr>
                <m:t>'</m:t>
              </m:r>
            </m:sup>
          </m:sSubSup>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ijk</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γ</m:t>
              </m:r>
            </m:e>
            <m:sub>
              <m:r>
                <m:rPr>
                  <m:scr m:val="script"/>
                </m:rPr>
                <w:rPr>
                  <w:rFonts w:ascii="Cambria Math" w:hAnsi="Cambria Math"/>
                  <w:sz w:val="28"/>
                  <w:szCs w:val="28"/>
                </w:rPr>
                <m:t>l</m:t>
              </m:r>
              <m:r>
                <w:rPr>
                  <w:rFonts w:ascii="Cambria Math" w:hAnsi="Cambria Math"/>
                  <w:sz w:val="28"/>
                  <w:szCs w:val="28"/>
                </w:rPr>
                <m:t>j</m:t>
              </m:r>
            </m:sub>
            <m:sup>
              <m:r>
                <w:rPr>
                  <w:rFonts w:ascii="Cambria Math" w:hAnsi="Cambria Math"/>
                  <w:sz w:val="28"/>
                  <w:szCs w:val="28"/>
                </w:rPr>
                <m:t>'</m:t>
              </m:r>
            </m:sup>
          </m:sSubSup>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ij</m:t>
              </m:r>
              <m:r>
                <m:rPr>
                  <m:scr m:val="script"/>
                </m:rPr>
                <w:rPr>
                  <w:rFonts w:ascii="Cambria Math" w:eastAsiaTheme="minorEastAsia" w:hAnsi="Cambria Math"/>
                  <w:sz w:val="28"/>
                  <w:szCs w:val="28"/>
                </w:rPr>
                <m:t>l</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ε</m:t>
              </m:r>
            </m:e>
            <m:sub>
              <m:r>
                <w:rPr>
                  <w:rFonts w:ascii="Cambria Math" w:eastAsiaTheme="minorEastAsia" w:hAnsi="Cambria Math"/>
                  <w:sz w:val="28"/>
                  <w:szCs w:val="28"/>
                </w:rPr>
                <m:t>ij</m:t>
              </m:r>
            </m:sub>
          </m:sSub>
        </m:oMath>
      </m:oMathPara>
    </w:p>
    <w:p w14:paraId="1BBBB2AD" w14:textId="77777777" w:rsidR="00F25A7B" w:rsidRPr="00F43F6B" w:rsidRDefault="00F25A7B" w:rsidP="00F25A7B">
      <w:pPr>
        <w:ind w:left="708"/>
        <w:jc w:val="both"/>
        <w:rPr>
          <w:rFonts w:ascii="Arial Narrow" w:hAnsi="Arial Narrow"/>
          <w:sz w:val="28"/>
          <w:szCs w:val="28"/>
        </w:rPr>
      </w:pPr>
      <w:r w:rsidRPr="00F43F6B">
        <w:rPr>
          <w:rFonts w:ascii="Arial Narrow" w:hAnsi="Arial Narrow"/>
          <w:sz w:val="28"/>
          <w:szCs w:val="28"/>
        </w:rPr>
        <w:t>En donde, el lado izquierdo de la expresión es:</w:t>
      </w:r>
    </w:p>
    <w:p w14:paraId="0AC24BC0" w14:textId="77777777" w:rsidR="00F25A7B" w:rsidRPr="00F43F6B" w:rsidRDefault="00F25A7B" w:rsidP="00F25A7B">
      <w:pPr>
        <w:ind w:left="708"/>
        <w:jc w:val="both"/>
        <w:rPr>
          <w:rFonts w:ascii="Arial Narrow" w:eastAsiaTheme="minorEastAsia" w:hAnsi="Arial Narrow"/>
          <w:sz w:val="28"/>
          <w:szCs w:val="28"/>
        </w:rPr>
      </w:pPr>
      <w:r w:rsidRPr="00F43F6B">
        <w:rPr>
          <w:rFonts w:ascii="Arial Narrow" w:hAnsi="Arial Narrow"/>
          <w:sz w:val="28"/>
          <w:szCs w:val="28"/>
        </w:rPr>
        <w:t xml:space="preserve"> </w:t>
      </w:r>
      <m:oMath>
        <m:sSubSup>
          <m:sSubSupPr>
            <m:ctrlPr>
              <w:rPr>
                <w:rFonts w:ascii="Cambria Math" w:hAnsi="Cambria Math"/>
                <w:i/>
                <w:sz w:val="24"/>
                <w:szCs w:val="28"/>
              </w:rPr>
            </m:ctrlPr>
          </m:sSubSupPr>
          <m:e>
            <m:r>
              <w:rPr>
                <w:rFonts w:ascii="Cambria Math" w:hAnsi="Cambria Math"/>
                <w:sz w:val="24"/>
                <w:szCs w:val="28"/>
              </w:rPr>
              <m:t>φ</m:t>
            </m:r>
          </m:e>
          <m:sub>
            <m:r>
              <w:rPr>
                <w:rFonts w:ascii="Cambria Math" w:hAnsi="Cambria Math"/>
                <w:sz w:val="24"/>
                <w:szCs w:val="28"/>
              </w:rPr>
              <m:t>ij</m:t>
            </m:r>
          </m:sub>
          <m:sup>
            <m:r>
              <w:rPr>
                <w:rFonts w:ascii="Cambria Math" w:hAnsi="Cambria Math"/>
                <w:sz w:val="24"/>
                <w:szCs w:val="28"/>
              </w:rPr>
              <m:t>NLAB</m:t>
            </m:r>
          </m:sup>
        </m:sSubSup>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Costos y Gastos Procedentes</m:t>
            </m:r>
          </m:num>
          <m:den>
            <m:r>
              <w:rPr>
                <w:rFonts w:ascii="Cambria Math" w:hAnsi="Cambria Math"/>
                <w:sz w:val="24"/>
                <w:szCs w:val="28"/>
              </w:rPr>
              <m:t>Ingresos Bruto no Laboral -</m:t>
            </m:r>
            <m:d>
              <m:dPr>
                <m:ctrlPr>
                  <w:rPr>
                    <w:rFonts w:ascii="Cambria Math" w:hAnsi="Cambria Math"/>
                    <w:i/>
                    <w:sz w:val="24"/>
                    <w:szCs w:val="28"/>
                  </w:rPr>
                </m:ctrlPr>
              </m:dPr>
              <m:e>
                <m:r>
                  <w:rPr>
                    <w:rFonts w:ascii="Cambria Math" w:hAnsi="Cambria Math"/>
                    <w:sz w:val="24"/>
                    <w:szCs w:val="28"/>
                  </w:rPr>
                  <m:t>Devoluciones y Descuentos+Ingresos no Const Renta</m:t>
                </m:r>
              </m:e>
            </m:d>
          </m:den>
        </m:f>
      </m:oMath>
    </w:p>
    <w:p w14:paraId="5AE0C15E" w14:textId="77777777" w:rsidR="00EE63F6" w:rsidRPr="00F43F6B" w:rsidRDefault="00EE63F6" w:rsidP="00F25A7B">
      <w:pPr>
        <w:ind w:left="708"/>
        <w:jc w:val="both"/>
        <w:rPr>
          <w:rFonts w:ascii="Arial Narrow" w:hAnsi="Arial Narrow"/>
          <w:sz w:val="28"/>
          <w:szCs w:val="28"/>
        </w:rPr>
      </w:pPr>
      <w:r w:rsidRPr="00F43F6B">
        <w:rPr>
          <w:rFonts w:ascii="Arial Narrow" w:hAnsi="Arial Narrow"/>
          <w:sz w:val="28"/>
          <w:szCs w:val="28"/>
        </w:rPr>
        <w:t>o lo que es lo mismo, el cociente entre los valores observados en la casilla 57 del formulario de renta y los valores registrados en la casilla 54, netos de los valores en las casillas 55 y 56.</w:t>
      </w:r>
    </w:p>
    <w:p w14:paraId="7B670AF6" w14:textId="77777777" w:rsidR="00544063" w:rsidRPr="00F43F6B" w:rsidRDefault="00544063" w:rsidP="00F25A7B">
      <w:pPr>
        <w:ind w:left="708"/>
        <w:jc w:val="both"/>
        <w:rPr>
          <w:rFonts w:ascii="Arial Narrow" w:hAnsi="Arial Narrow"/>
          <w:sz w:val="28"/>
          <w:szCs w:val="28"/>
        </w:rPr>
      </w:pPr>
      <w:r w:rsidRPr="00F43F6B">
        <w:rPr>
          <w:rFonts w:ascii="Arial Narrow" w:hAnsi="Arial Narrow"/>
          <w:sz w:val="28"/>
          <w:szCs w:val="28"/>
        </w:rPr>
        <w:t>En adición,</w:t>
      </w: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6633"/>
      </w:tblGrid>
      <w:tr w:rsidR="00544063" w:rsidRPr="00F43F6B" w14:paraId="78D38EEF" w14:textId="77777777" w:rsidTr="00544063">
        <w:tc>
          <w:tcPr>
            <w:tcW w:w="1527" w:type="dxa"/>
          </w:tcPr>
          <w:p w14:paraId="3B1C7B13" w14:textId="77777777" w:rsidR="00544063" w:rsidRPr="00F43F6B" w:rsidRDefault="002C6FBF" w:rsidP="00544063">
            <w:pPr>
              <w:jc w:val="right"/>
              <w:rPr>
                <w:rFonts w:ascii="Arial Narrow" w:hAnsi="Arial Narrow"/>
                <w:sz w:val="28"/>
                <w:szCs w:val="28"/>
              </w:rPr>
            </w:pPr>
            <m:oMath>
              <m:acc>
                <m:accPr>
                  <m:chr m:val="̅"/>
                  <m:ctrlPr>
                    <w:rPr>
                      <w:rFonts w:ascii="Cambria Math" w:hAnsi="Cambria Math"/>
                      <w:i/>
                      <w:sz w:val="28"/>
                      <w:szCs w:val="28"/>
                    </w:rPr>
                  </m:ctrlPr>
                </m:accPr>
                <m:e>
                  <m:r>
                    <w:rPr>
                      <w:rFonts w:ascii="Cambria Math" w:hAnsi="Cambria Math"/>
                      <w:sz w:val="28"/>
                      <w:szCs w:val="28"/>
                    </w:rPr>
                    <m:t>φ</m:t>
                  </m:r>
                </m:e>
              </m:acc>
            </m:oMath>
            <w:r w:rsidR="00544063" w:rsidRPr="00F43F6B">
              <w:rPr>
                <w:rFonts w:ascii="Arial Narrow" w:eastAsiaTheme="minorEastAsia" w:hAnsi="Arial Narrow"/>
                <w:sz w:val="28"/>
                <w:szCs w:val="28"/>
              </w:rPr>
              <w:t>:</w:t>
            </w:r>
          </w:p>
        </w:tc>
        <w:tc>
          <w:tcPr>
            <w:tcW w:w="6819" w:type="dxa"/>
          </w:tcPr>
          <w:p w14:paraId="4EAA5D8B" w14:textId="77777777" w:rsidR="00544063" w:rsidRPr="00F43F6B" w:rsidRDefault="00544063" w:rsidP="00F25A7B">
            <w:pPr>
              <w:jc w:val="both"/>
              <w:rPr>
                <w:rFonts w:ascii="Arial Narrow" w:hAnsi="Arial Narrow"/>
                <w:sz w:val="28"/>
                <w:szCs w:val="28"/>
              </w:rPr>
            </w:pPr>
            <w:r w:rsidRPr="00F43F6B">
              <w:rPr>
                <w:rFonts w:ascii="Arial Narrow" w:hAnsi="Arial Narrow"/>
                <w:sz w:val="28"/>
                <w:szCs w:val="28"/>
              </w:rPr>
              <w:t>Promedio de los costos relativos en la categoría base;</w:t>
            </w:r>
          </w:p>
        </w:tc>
      </w:tr>
      <w:tr w:rsidR="00544063" w:rsidRPr="00F43F6B" w14:paraId="5A555005" w14:textId="77777777" w:rsidTr="00544063">
        <w:tc>
          <w:tcPr>
            <w:tcW w:w="1527" w:type="dxa"/>
          </w:tcPr>
          <w:p w14:paraId="671F672D" w14:textId="77777777" w:rsidR="00544063" w:rsidRPr="00F43F6B" w:rsidRDefault="002C6FBF" w:rsidP="00544063">
            <w:pPr>
              <w:jc w:val="right"/>
              <w:rPr>
                <w:rFonts w:ascii="Arial Narrow" w:hAnsi="Arial Narrow"/>
                <w:sz w:val="28"/>
                <w:szCs w:val="28"/>
              </w:rPr>
            </w:pPr>
            <m:oMath>
              <m:sSubSup>
                <m:sSubSupPr>
                  <m:ctrlPr>
                    <w:rPr>
                      <w:rFonts w:ascii="Cambria Math" w:hAnsi="Cambria Math"/>
                      <w:i/>
                      <w:sz w:val="28"/>
                      <w:szCs w:val="28"/>
                    </w:rPr>
                  </m:ctrlPr>
                </m:sSubSupPr>
                <m:e>
                  <m:r>
                    <w:rPr>
                      <w:rFonts w:ascii="Cambria Math" w:hAnsi="Cambria Math"/>
                      <w:sz w:val="28"/>
                      <w:szCs w:val="28"/>
                    </w:rPr>
                    <m:t>β</m:t>
                  </m:r>
                </m:e>
                <m:sub>
                  <m:r>
                    <w:rPr>
                      <w:rFonts w:ascii="Cambria Math" w:hAnsi="Cambria Math"/>
                      <w:sz w:val="28"/>
                      <w:szCs w:val="28"/>
                    </w:rPr>
                    <m:t>kj</m:t>
                  </m:r>
                </m:sub>
                <m:sup>
                  <m:r>
                    <w:rPr>
                      <w:rFonts w:ascii="Cambria Math" w:hAnsi="Cambria Math"/>
                      <w:sz w:val="28"/>
                      <w:szCs w:val="28"/>
                    </w:rPr>
                    <m:t>'</m:t>
                  </m:r>
                </m:sup>
              </m:sSubSup>
            </m:oMath>
            <w:r w:rsidR="00544063" w:rsidRPr="00F43F6B">
              <w:rPr>
                <w:rFonts w:ascii="Arial Narrow" w:eastAsiaTheme="minorEastAsia" w:hAnsi="Arial Narrow"/>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γ</m:t>
                  </m:r>
                </m:e>
                <m:sub>
                  <m:r>
                    <m:rPr>
                      <m:scr m:val="script"/>
                    </m:rPr>
                    <w:rPr>
                      <w:rFonts w:ascii="Cambria Math" w:hAnsi="Cambria Math"/>
                      <w:sz w:val="28"/>
                      <w:szCs w:val="28"/>
                    </w:rPr>
                    <m:t>l</m:t>
                  </m:r>
                  <m:r>
                    <w:rPr>
                      <w:rFonts w:ascii="Cambria Math" w:hAnsi="Cambria Math"/>
                      <w:sz w:val="28"/>
                      <w:szCs w:val="28"/>
                    </w:rPr>
                    <m:t>j</m:t>
                  </m:r>
                </m:sub>
                <m:sup>
                  <m:r>
                    <w:rPr>
                      <w:rFonts w:ascii="Cambria Math" w:hAnsi="Cambria Math"/>
                      <w:sz w:val="28"/>
                      <w:szCs w:val="28"/>
                    </w:rPr>
                    <m:t>'</m:t>
                  </m:r>
                </m:sup>
              </m:sSubSup>
            </m:oMath>
            <w:r w:rsidR="00544063" w:rsidRPr="00F43F6B">
              <w:rPr>
                <w:rFonts w:ascii="Arial Narrow" w:eastAsiaTheme="minorEastAsia" w:hAnsi="Arial Narrow"/>
                <w:sz w:val="28"/>
                <w:szCs w:val="28"/>
              </w:rPr>
              <w:t>:</w:t>
            </w:r>
          </w:p>
        </w:tc>
        <w:tc>
          <w:tcPr>
            <w:tcW w:w="6819" w:type="dxa"/>
          </w:tcPr>
          <w:p w14:paraId="3AC60908" w14:textId="77777777" w:rsidR="00544063" w:rsidRPr="00F43F6B" w:rsidRDefault="00544063" w:rsidP="00544063">
            <w:pPr>
              <w:jc w:val="both"/>
              <w:rPr>
                <w:rFonts w:ascii="Arial Narrow" w:hAnsi="Arial Narrow"/>
                <w:sz w:val="28"/>
                <w:szCs w:val="28"/>
              </w:rPr>
            </w:pPr>
            <w:r w:rsidRPr="00F43F6B">
              <w:rPr>
                <w:rFonts w:ascii="Arial Narrow" w:hAnsi="Arial Narrow"/>
                <w:sz w:val="28"/>
                <w:szCs w:val="28"/>
              </w:rPr>
              <w:t>Aporte del Tamaño de Planta medido mediante deciles de ingreso bruto y de la localización;</w:t>
            </w:r>
          </w:p>
        </w:tc>
      </w:tr>
      <w:tr w:rsidR="00544063" w:rsidRPr="00F43F6B" w14:paraId="4A46D7AB" w14:textId="77777777" w:rsidTr="00544063">
        <w:tc>
          <w:tcPr>
            <w:tcW w:w="1527" w:type="dxa"/>
          </w:tcPr>
          <w:p w14:paraId="15EBC109" w14:textId="77777777" w:rsidR="00544063" w:rsidRPr="00F43F6B" w:rsidRDefault="002C6FBF" w:rsidP="00544063">
            <w:pPr>
              <w:jc w:val="right"/>
              <w:rPr>
                <w:rFonts w:ascii="Arial Narrow" w:hAnsi="Arial Narrow"/>
                <w:sz w:val="28"/>
                <w:szCs w:val="28"/>
              </w:rPr>
            </w:p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ijk</m:t>
                  </m:r>
                </m:sub>
              </m:sSub>
            </m:oMath>
            <w:r w:rsidR="00544063" w:rsidRPr="00F43F6B">
              <w:rPr>
                <w:rFonts w:ascii="Arial Narrow" w:eastAsiaTheme="minorEastAsia" w:hAnsi="Arial Narrow"/>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G</m:t>
                  </m:r>
                </m:e>
                <m:sub>
                  <m:r>
                    <w:rPr>
                      <w:rFonts w:ascii="Cambria Math" w:eastAsiaTheme="minorEastAsia" w:hAnsi="Cambria Math"/>
                      <w:sz w:val="28"/>
                      <w:szCs w:val="28"/>
                    </w:rPr>
                    <m:t>ij</m:t>
                  </m:r>
                  <m:r>
                    <m:rPr>
                      <m:scr m:val="script"/>
                    </m:rPr>
                    <w:rPr>
                      <w:rFonts w:ascii="Cambria Math" w:eastAsiaTheme="minorEastAsia" w:hAnsi="Cambria Math"/>
                      <w:sz w:val="28"/>
                      <w:szCs w:val="28"/>
                    </w:rPr>
                    <m:t>l</m:t>
                  </m:r>
                </m:sub>
              </m:sSub>
            </m:oMath>
            <w:r w:rsidR="00544063" w:rsidRPr="00F43F6B">
              <w:rPr>
                <w:rFonts w:ascii="Arial Narrow" w:eastAsiaTheme="minorEastAsia" w:hAnsi="Arial Narrow"/>
                <w:sz w:val="28"/>
                <w:szCs w:val="28"/>
              </w:rPr>
              <w:t>:</w:t>
            </w:r>
          </w:p>
        </w:tc>
        <w:tc>
          <w:tcPr>
            <w:tcW w:w="6819" w:type="dxa"/>
          </w:tcPr>
          <w:p w14:paraId="10593B5B" w14:textId="77777777" w:rsidR="00544063" w:rsidRPr="00F43F6B" w:rsidRDefault="00544063" w:rsidP="00F25A7B">
            <w:pPr>
              <w:jc w:val="both"/>
              <w:rPr>
                <w:rFonts w:ascii="Arial Narrow" w:hAnsi="Arial Narrow"/>
                <w:sz w:val="28"/>
                <w:szCs w:val="28"/>
              </w:rPr>
            </w:pPr>
            <w:r w:rsidRPr="00F43F6B">
              <w:rPr>
                <w:rFonts w:ascii="Arial Narrow" w:hAnsi="Arial Narrow"/>
                <w:sz w:val="28"/>
                <w:szCs w:val="28"/>
              </w:rPr>
              <w:t xml:space="preserve">Decil de Ingreso Bruto y Departamento del obligado </w:t>
            </w:r>
            <m:oMath>
              <m:r>
                <w:rPr>
                  <w:rFonts w:ascii="Cambria Math" w:hAnsi="Cambria Math"/>
                  <w:sz w:val="28"/>
                  <w:szCs w:val="28"/>
                </w:rPr>
                <m:t>i</m:t>
              </m:r>
            </m:oMath>
            <w:r w:rsidRPr="00F43F6B">
              <w:rPr>
                <w:rFonts w:ascii="Arial Narrow" w:hAnsi="Arial Narrow"/>
                <w:sz w:val="28"/>
                <w:szCs w:val="28"/>
              </w:rPr>
              <w:t>, respectivamente;</w:t>
            </w:r>
          </w:p>
        </w:tc>
      </w:tr>
      <w:tr w:rsidR="00544063" w:rsidRPr="00F43F6B" w14:paraId="6DF0F058" w14:textId="77777777" w:rsidTr="00544063">
        <w:tc>
          <w:tcPr>
            <w:tcW w:w="1527" w:type="dxa"/>
          </w:tcPr>
          <w:p w14:paraId="1ACC8B26" w14:textId="77777777" w:rsidR="00544063" w:rsidRPr="00F43F6B" w:rsidRDefault="002C6FBF" w:rsidP="00544063">
            <w:pPr>
              <w:jc w:val="right"/>
              <w:rPr>
                <w:rFonts w:ascii="Arial Narrow" w:hAnsi="Arial Narrow"/>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ε</m:t>
                  </m:r>
                </m:e>
                <m:sub>
                  <m:r>
                    <w:rPr>
                      <w:rFonts w:ascii="Cambria Math" w:eastAsiaTheme="minorEastAsia" w:hAnsi="Cambria Math"/>
                      <w:sz w:val="28"/>
                      <w:szCs w:val="28"/>
                    </w:rPr>
                    <m:t>ij</m:t>
                  </m:r>
                </m:sub>
              </m:sSub>
            </m:oMath>
            <w:r w:rsidR="00544063" w:rsidRPr="00F43F6B">
              <w:rPr>
                <w:rFonts w:ascii="Arial Narrow" w:eastAsiaTheme="minorEastAsia" w:hAnsi="Arial Narrow"/>
                <w:iCs/>
                <w:sz w:val="28"/>
                <w:szCs w:val="28"/>
              </w:rPr>
              <w:t>:</w:t>
            </w:r>
          </w:p>
        </w:tc>
        <w:tc>
          <w:tcPr>
            <w:tcW w:w="6819" w:type="dxa"/>
          </w:tcPr>
          <w:p w14:paraId="3402E3FB" w14:textId="77777777" w:rsidR="00544063" w:rsidRPr="00F43F6B" w:rsidRDefault="00544063" w:rsidP="00F25A7B">
            <w:pPr>
              <w:jc w:val="both"/>
              <w:rPr>
                <w:rFonts w:ascii="Arial Narrow" w:hAnsi="Arial Narrow"/>
                <w:sz w:val="28"/>
                <w:szCs w:val="28"/>
              </w:rPr>
            </w:pPr>
            <w:r w:rsidRPr="00F43F6B">
              <w:rPr>
                <w:rFonts w:ascii="Arial Narrow" w:hAnsi="Arial Narrow"/>
                <w:sz w:val="28"/>
                <w:szCs w:val="28"/>
              </w:rPr>
              <w:t>Un término de error.</w:t>
            </w:r>
          </w:p>
        </w:tc>
      </w:tr>
    </w:tbl>
    <w:p w14:paraId="4F4149D8" w14:textId="77777777" w:rsidR="00544063" w:rsidRPr="00F43F6B" w:rsidRDefault="00544063" w:rsidP="00F25A7B">
      <w:pPr>
        <w:ind w:left="708"/>
        <w:jc w:val="both"/>
        <w:rPr>
          <w:rFonts w:ascii="Arial Narrow" w:hAnsi="Arial Narrow"/>
          <w:sz w:val="28"/>
          <w:szCs w:val="28"/>
        </w:rPr>
      </w:pPr>
    </w:p>
    <w:p w14:paraId="16BAB046" w14:textId="77777777" w:rsidR="00EA7F9D" w:rsidRPr="00F43F6B" w:rsidRDefault="00544063" w:rsidP="00544063">
      <w:pPr>
        <w:pStyle w:val="Prrafodelista"/>
        <w:numPr>
          <w:ilvl w:val="0"/>
          <w:numId w:val="4"/>
        </w:numPr>
        <w:jc w:val="both"/>
        <w:rPr>
          <w:rFonts w:ascii="Arial Narrow" w:hAnsi="Arial Narrow"/>
          <w:sz w:val="28"/>
          <w:szCs w:val="28"/>
        </w:rPr>
      </w:pPr>
      <w:r w:rsidRPr="00F43F6B">
        <w:rPr>
          <w:rFonts w:ascii="Arial Narrow" w:hAnsi="Arial Narrow"/>
          <w:b/>
          <w:sz w:val="28"/>
          <w:szCs w:val="28"/>
        </w:rPr>
        <w:t>Implementación y Resultados.―</w:t>
      </w:r>
      <w:r w:rsidRPr="00F43F6B">
        <w:rPr>
          <w:rFonts w:ascii="Arial Narrow" w:hAnsi="Arial Narrow"/>
          <w:sz w:val="28"/>
          <w:szCs w:val="28"/>
        </w:rPr>
        <w:t xml:space="preserve"> La estimación de los coeficientes de costes parte de la información del universo disponible de declaraciones tributarias de la vigencia fiscal de 2017 que comprende un total de 1’874.879 personas naturales de las cuales 1’159.612 individuos registran rentas no laborales. De este número </w:t>
      </w:r>
      <w:r w:rsidRPr="00F43F6B">
        <w:rPr>
          <w:rFonts w:ascii="Arial Narrow" w:hAnsi="Arial Narrow"/>
          <w:sz w:val="28"/>
          <w:szCs w:val="28"/>
        </w:rPr>
        <w:lastRenderedPageBreak/>
        <w:t xml:space="preserve">se </w:t>
      </w:r>
      <w:r w:rsidR="00EA7F9D" w:rsidRPr="00F43F6B">
        <w:rPr>
          <w:rFonts w:ascii="Arial Narrow" w:hAnsi="Arial Narrow"/>
          <w:sz w:val="28"/>
          <w:szCs w:val="28"/>
        </w:rPr>
        <w:t xml:space="preserve">tienen en cuenta </w:t>
      </w:r>
      <w:r w:rsidRPr="00F43F6B">
        <w:rPr>
          <w:rFonts w:ascii="Arial Narrow" w:hAnsi="Arial Narrow"/>
          <w:sz w:val="28"/>
          <w:szCs w:val="28"/>
        </w:rPr>
        <w:t>aquellos individuos que presentan relaciones de costos a ingreso brutos may</w:t>
      </w:r>
      <w:r w:rsidR="00EA7F9D" w:rsidRPr="00F43F6B">
        <w:rPr>
          <w:rFonts w:ascii="Arial Narrow" w:hAnsi="Arial Narrow"/>
          <w:sz w:val="28"/>
          <w:szCs w:val="28"/>
        </w:rPr>
        <w:t xml:space="preserve">ores que cero y menores que uno, esto es un total de </w:t>
      </w:r>
      <w:r w:rsidRPr="00F43F6B">
        <w:rPr>
          <w:rFonts w:ascii="Arial Narrow" w:hAnsi="Arial Narrow"/>
          <w:sz w:val="28"/>
          <w:szCs w:val="28"/>
        </w:rPr>
        <w:t xml:space="preserve">822,825 Individuos con relación costos </w:t>
      </w:r>
      <w:r w:rsidR="00EA7F9D" w:rsidRPr="00F43F6B">
        <w:rPr>
          <w:rFonts w:ascii="Arial Narrow" w:hAnsi="Arial Narrow"/>
          <w:sz w:val="28"/>
          <w:szCs w:val="28"/>
        </w:rPr>
        <w:t xml:space="preserve">tal </w:t>
      </w:r>
      <m:oMath>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ij</m:t>
            </m:r>
          </m:sub>
          <m:sup>
            <m:r>
              <w:rPr>
                <w:rFonts w:ascii="Cambria Math" w:hAnsi="Cambria Math"/>
                <w:sz w:val="28"/>
                <w:szCs w:val="28"/>
              </w:rPr>
              <m:t>NLAB</m:t>
            </m:r>
          </m:sup>
        </m:sSubSup>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0, 1</m:t>
            </m:r>
          </m:e>
        </m:d>
      </m:oMath>
      <w:r w:rsidR="00EA7F9D" w:rsidRPr="00F43F6B">
        <w:rPr>
          <w:rFonts w:ascii="Arial Narrow" w:eastAsiaTheme="minorEastAsia" w:hAnsi="Arial Narrow"/>
          <w:sz w:val="28"/>
          <w:szCs w:val="28"/>
        </w:rPr>
        <w:t>.</w:t>
      </w:r>
      <w:r w:rsidR="00EA7F9D" w:rsidRPr="00F43F6B">
        <w:rPr>
          <w:rFonts w:ascii="Arial Narrow" w:hAnsi="Arial Narrow"/>
          <w:sz w:val="28"/>
          <w:szCs w:val="28"/>
        </w:rPr>
        <w:t xml:space="preserve"> El promedio simple de  </w:t>
      </w:r>
      <m:oMath>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ij</m:t>
            </m:r>
          </m:sub>
          <m:sup>
            <m:r>
              <w:rPr>
                <w:rFonts w:ascii="Cambria Math" w:hAnsi="Cambria Math"/>
                <w:sz w:val="28"/>
                <w:szCs w:val="28"/>
              </w:rPr>
              <m:t>NLAB</m:t>
            </m:r>
          </m:sup>
        </m:sSubSup>
      </m:oMath>
      <w:r w:rsidR="00EA7F9D" w:rsidRPr="00F43F6B">
        <w:rPr>
          <w:rFonts w:ascii="Arial Narrow" w:hAnsi="Arial Narrow"/>
          <w:sz w:val="28"/>
          <w:szCs w:val="28"/>
        </w:rPr>
        <w:t xml:space="preserve"> es de</w:t>
      </w:r>
      <w:r w:rsidRPr="00F43F6B">
        <w:rPr>
          <w:rFonts w:ascii="Arial Narrow" w:hAnsi="Arial Narrow"/>
          <w:sz w:val="28"/>
          <w:szCs w:val="28"/>
        </w:rPr>
        <w:t xml:space="preserve"> 0.661</w:t>
      </w:r>
      <w:r w:rsidR="00EA7F9D" w:rsidRPr="00F43F6B">
        <w:rPr>
          <w:rFonts w:ascii="Arial Narrow" w:hAnsi="Arial Narrow"/>
          <w:sz w:val="28"/>
          <w:szCs w:val="28"/>
        </w:rPr>
        <w:t xml:space="preserve"> con una desviación estándar de 0.224. A fin de eliminar </w:t>
      </w:r>
      <w:proofErr w:type="spellStart"/>
      <w:r w:rsidR="00EA7F9D" w:rsidRPr="00F43F6B">
        <w:rPr>
          <w:rFonts w:ascii="Arial Narrow" w:hAnsi="Arial Narrow"/>
          <w:sz w:val="28"/>
          <w:szCs w:val="28"/>
        </w:rPr>
        <w:t>influenciales</w:t>
      </w:r>
      <w:proofErr w:type="spellEnd"/>
      <w:r w:rsidR="00EA7F9D" w:rsidRPr="00F43F6B">
        <w:rPr>
          <w:rFonts w:ascii="Arial Narrow" w:hAnsi="Arial Narrow"/>
          <w:sz w:val="28"/>
          <w:szCs w:val="28"/>
        </w:rPr>
        <w:t xml:space="preserve"> y </w:t>
      </w:r>
      <w:proofErr w:type="spellStart"/>
      <w:r w:rsidR="00EA7F9D" w:rsidRPr="00F43F6B">
        <w:rPr>
          <w:rFonts w:ascii="Arial Narrow" w:hAnsi="Arial Narrow"/>
          <w:i/>
          <w:sz w:val="28"/>
          <w:szCs w:val="28"/>
        </w:rPr>
        <w:t>outliers</w:t>
      </w:r>
      <w:proofErr w:type="spellEnd"/>
      <w:r w:rsidR="00EA7F9D" w:rsidRPr="00F43F6B">
        <w:rPr>
          <w:rFonts w:ascii="Arial Narrow" w:hAnsi="Arial Narrow"/>
          <w:sz w:val="28"/>
          <w:szCs w:val="28"/>
        </w:rPr>
        <w:t xml:space="preserve"> en la variable dependiente se construye un intervalo de confianza del 95%. La base de datos final comprende un total de 778,546 individuos (44,279 de ellos individuos quedan fuera del intervalo).</w:t>
      </w:r>
    </w:p>
    <w:p w14:paraId="130927E0" w14:textId="77777777" w:rsidR="00EA7F9D" w:rsidRPr="00F43F6B" w:rsidRDefault="00EA7F9D" w:rsidP="00EA7F9D">
      <w:pPr>
        <w:ind w:left="360"/>
        <w:jc w:val="both"/>
        <w:rPr>
          <w:rFonts w:ascii="Arial Narrow" w:hAnsi="Arial Narrow"/>
          <w:sz w:val="28"/>
          <w:szCs w:val="28"/>
        </w:rPr>
      </w:pPr>
      <w:r w:rsidRPr="00F43F6B">
        <w:rPr>
          <w:rFonts w:ascii="Arial Narrow" w:hAnsi="Arial Narrow"/>
          <w:sz w:val="28"/>
          <w:szCs w:val="28"/>
        </w:rPr>
        <w:t xml:space="preserve">La propuesta consiste en obtener presunciones de costos por grupo de actividad económica. El universo disponible de 778,546 declaraciones, aparece distribuido entre 773 actividades económicas distintas, de acuerdo con la codificación que se registra en el RUT (DIAN). Estos códigos de actividad se agregan a nivel de sección según la CIIU Rev. 4. A.C., para asegurar grupos que contengan al menos 384 observaciones; en caso contrario, se introduce en la categoría “RESTO”. Se identificaron 17 grupos de actividades: </w:t>
      </w:r>
    </w:p>
    <w:p w14:paraId="614B89ED" w14:textId="77777777" w:rsidR="00EA7F9D" w:rsidRPr="00F43F6B" w:rsidRDefault="00EA7F9D" w:rsidP="00EA7F9D">
      <w:pPr>
        <w:spacing w:after="0"/>
        <w:ind w:left="360"/>
        <w:jc w:val="both"/>
        <w:rPr>
          <w:rFonts w:ascii="Arial Narrow" w:hAnsi="Arial Narrow"/>
          <w:sz w:val="28"/>
          <w:szCs w:val="28"/>
        </w:rPr>
      </w:pPr>
      <w:r w:rsidRPr="00F43F6B">
        <w:rPr>
          <w:rFonts w:ascii="Arial Narrow" w:hAnsi="Arial Narrow"/>
          <w:sz w:val="28"/>
          <w:szCs w:val="28"/>
        </w:rPr>
        <w:t>Figura 2.― Declaraciones Tributarias según Grupo de Actividad Económica (Sección CIIU)</w:t>
      </w:r>
    </w:p>
    <w:p w14:paraId="29F722DD" w14:textId="77777777" w:rsidR="00EA7F9D" w:rsidRPr="00F43F6B" w:rsidRDefault="00EA7F9D" w:rsidP="00EA7F9D">
      <w:pPr>
        <w:spacing w:after="0" w:line="240" w:lineRule="auto"/>
        <w:ind w:left="357"/>
        <w:jc w:val="both"/>
        <w:rPr>
          <w:rFonts w:ascii="Arial Narrow" w:hAnsi="Arial Narrow"/>
          <w:sz w:val="28"/>
          <w:szCs w:val="28"/>
        </w:rPr>
      </w:pPr>
      <w:r w:rsidRPr="00F43F6B">
        <w:rPr>
          <w:rFonts w:ascii="Arial Narrow" w:hAnsi="Arial Narrow"/>
          <w:noProof/>
          <w:sz w:val="28"/>
          <w:szCs w:val="28"/>
          <w:lang w:eastAsia="es-CO"/>
        </w:rPr>
        <w:drawing>
          <wp:inline distT="0" distB="0" distL="0" distR="0" wp14:anchorId="02EC1412" wp14:editId="35CAAD9D">
            <wp:extent cx="6149591" cy="2736957"/>
            <wp:effectExtent l="0" t="0" r="381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4491" cy="2739138"/>
                    </a:xfrm>
                    <a:prstGeom prst="rect">
                      <a:avLst/>
                    </a:prstGeom>
                    <a:noFill/>
                  </pic:spPr>
                </pic:pic>
              </a:graphicData>
            </a:graphic>
          </wp:inline>
        </w:drawing>
      </w:r>
    </w:p>
    <w:p w14:paraId="090142FE" w14:textId="77777777" w:rsidR="00EA7F9D" w:rsidRPr="00F43F6B" w:rsidRDefault="00EA7F9D" w:rsidP="00EA7F9D">
      <w:pPr>
        <w:spacing w:line="240" w:lineRule="auto"/>
        <w:ind w:left="357"/>
        <w:jc w:val="both"/>
        <w:rPr>
          <w:rFonts w:ascii="Arial Narrow" w:hAnsi="Arial Narrow"/>
          <w:sz w:val="28"/>
          <w:szCs w:val="28"/>
        </w:rPr>
      </w:pPr>
      <w:r w:rsidRPr="00F43F6B">
        <w:rPr>
          <w:rFonts w:ascii="Arial Narrow" w:hAnsi="Arial Narrow"/>
          <w:sz w:val="28"/>
          <w:szCs w:val="28"/>
        </w:rPr>
        <w:t>Fuente: Cálculos Propios con base en declaraciones tributarias 210, año fiscal 2017.</w:t>
      </w:r>
    </w:p>
    <w:p w14:paraId="1073C16D" w14:textId="77777777" w:rsidR="00EA7F9D" w:rsidRPr="00F43F6B" w:rsidRDefault="00CB73BF" w:rsidP="00CB73BF">
      <w:pPr>
        <w:ind w:left="360"/>
        <w:jc w:val="both"/>
        <w:rPr>
          <w:rFonts w:ascii="Arial Narrow" w:hAnsi="Arial Narrow"/>
          <w:sz w:val="28"/>
          <w:szCs w:val="28"/>
        </w:rPr>
      </w:pPr>
      <w:r w:rsidRPr="00F43F6B">
        <w:rPr>
          <w:rFonts w:ascii="Arial Narrow" w:hAnsi="Arial Narrow"/>
          <w:sz w:val="28"/>
          <w:szCs w:val="28"/>
        </w:rPr>
        <w:t>Se estima</w:t>
      </w:r>
      <w:r w:rsidR="008C1A52" w:rsidRPr="00F43F6B">
        <w:rPr>
          <w:rFonts w:ascii="Arial Narrow" w:hAnsi="Arial Narrow"/>
          <w:sz w:val="28"/>
          <w:szCs w:val="28"/>
        </w:rPr>
        <w:t>n</w:t>
      </w:r>
      <w:r w:rsidRPr="00F43F6B">
        <w:rPr>
          <w:rFonts w:ascii="Arial Narrow" w:hAnsi="Arial Narrow"/>
          <w:sz w:val="28"/>
          <w:szCs w:val="28"/>
        </w:rPr>
        <w:t xml:space="preserve"> 17 modelos sectoriales que corresponden a Secciones de la CIIU Revisión 4, A.C. además de 2 modelos de actividad económica específica: Cultivo de Café [Actividad 1008, n = 10,350 casos] y Transporte de Carga por Carretera [Actividad 1289, n= 44,002]. El método de estimación es el de Mínimos Cuadrados </w:t>
      </w:r>
      <w:r w:rsidRPr="00F43F6B">
        <w:rPr>
          <w:rFonts w:ascii="Arial Narrow" w:hAnsi="Arial Narrow"/>
          <w:sz w:val="28"/>
          <w:szCs w:val="28"/>
        </w:rPr>
        <w:lastRenderedPageBreak/>
        <w:t>Ordinarios y se utiliza un procedimiento iterativo de selección de variables consistente en la introducción secuencial de variables (</w:t>
      </w:r>
      <w:proofErr w:type="spellStart"/>
      <w:r w:rsidRPr="00F43F6B">
        <w:rPr>
          <w:rFonts w:ascii="Arial Narrow" w:hAnsi="Arial Narrow"/>
          <w:sz w:val="28"/>
          <w:szCs w:val="28"/>
        </w:rPr>
        <w:t>stepwise</w:t>
      </w:r>
      <w:proofErr w:type="spellEnd"/>
      <w:r w:rsidRPr="00F43F6B">
        <w:rPr>
          <w:rFonts w:ascii="Arial Narrow" w:hAnsi="Arial Narrow"/>
          <w:sz w:val="28"/>
          <w:szCs w:val="28"/>
        </w:rPr>
        <w:t>) con un  criterio de conservación de significancia al 1%</w:t>
      </w:r>
      <w:r w:rsidR="00616399" w:rsidRPr="00F43F6B">
        <w:rPr>
          <w:rFonts w:ascii="Arial Narrow" w:hAnsi="Arial Narrow"/>
          <w:sz w:val="28"/>
          <w:szCs w:val="28"/>
        </w:rPr>
        <w:t xml:space="preserve">. </w:t>
      </w:r>
    </w:p>
    <w:p w14:paraId="43D01A16" w14:textId="77777777" w:rsidR="00616399" w:rsidRPr="00F43F6B" w:rsidRDefault="00616399" w:rsidP="008C1A52">
      <w:pPr>
        <w:ind w:left="360"/>
        <w:jc w:val="both"/>
        <w:rPr>
          <w:rFonts w:ascii="Arial Narrow" w:hAnsi="Arial Narrow"/>
          <w:sz w:val="28"/>
          <w:szCs w:val="28"/>
        </w:rPr>
      </w:pPr>
      <w:r w:rsidRPr="00F43F6B">
        <w:rPr>
          <w:rFonts w:ascii="Arial Narrow" w:hAnsi="Arial Narrow"/>
          <w:sz w:val="28"/>
          <w:szCs w:val="28"/>
        </w:rPr>
        <w:t>La figura 3 a continuación resume los resultados sectoriales de las estimaciones. En la primera columna de la tabla aparece la sección del CIIU Revisión 4, A.C.; la segunda columna (“n”) registra el número de observaciones disponible para una sección CIIU particular. La tercera columna (“rho”) es el coeficiente costo</w:t>
      </w:r>
      <w:r w:rsidR="008C730F" w:rsidRPr="00F43F6B">
        <w:rPr>
          <w:rFonts w:ascii="Arial Narrow" w:hAnsi="Arial Narrow"/>
          <w:sz w:val="28"/>
          <w:szCs w:val="28"/>
        </w:rPr>
        <w:t xml:space="preserve">s estimado para una actividad. De acuerdo con esta información, por ejemplo, el porcentaje del ingreso bruto que representan los costos y gastos recurrentes para la sección “Comercio al por mayor y </w:t>
      </w:r>
      <w:proofErr w:type="spellStart"/>
      <w:r w:rsidR="008C730F" w:rsidRPr="00F43F6B">
        <w:rPr>
          <w:rFonts w:ascii="Arial Narrow" w:hAnsi="Arial Narrow"/>
          <w:sz w:val="28"/>
          <w:szCs w:val="28"/>
        </w:rPr>
        <w:t>a</w:t>
      </w:r>
      <w:proofErr w:type="spellEnd"/>
      <w:r w:rsidR="008C730F" w:rsidRPr="00F43F6B">
        <w:rPr>
          <w:rFonts w:ascii="Arial Narrow" w:hAnsi="Arial Narrow"/>
          <w:sz w:val="28"/>
          <w:szCs w:val="28"/>
        </w:rPr>
        <w:t xml:space="preserve"> por menor, reparación de vehículos automotores y motocicletas” es del 75.92%. Las columnas 4ª a 6ª son estadísticos </w:t>
      </w:r>
      <w:r w:rsidR="008C1A52" w:rsidRPr="00F43F6B">
        <w:rPr>
          <w:rFonts w:ascii="Arial Narrow" w:hAnsi="Arial Narrow"/>
          <w:sz w:val="28"/>
          <w:szCs w:val="28"/>
        </w:rPr>
        <w:t xml:space="preserve">de ajuste que incluyen el Coeficiente de Determinación (R2) </w:t>
      </w:r>
      <w:r w:rsidR="008C730F" w:rsidRPr="00F43F6B">
        <w:rPr>
          <w:rFonts w:ascii="Arial Narrow" w:hAnsi="Arial Narrow"/>
          <w:sz w:val="28"/>
          <w:szCs w:val="28"/>
        </w:rPr>
        <w:t>que</w:t>
      </w:r>
      <w:r w:rsidR="008C1A52" w:rsidRPr="00F43F6B">
        <w:rPr>
          <w:rFonts w:ascii="Arial Narrow" w:hAnsi="Arial Narrow"/>
          <w:sz w:val="28"/>
          <w:szCs w:val="28"/>
        </w:rPr>
        <w:t xml:space="preserve"> es la relación entre la suma de cuadrados explicados y la suma de cuadrados totales, la Raíz del Error Medio Cuadrático (REMC) y una comparación entre estas dos mediciones (REMC/rho)</w:t>
      </w:r>
      <w:r w:rsidR="005D123A" w:rsidRPr="00F43F6B">
        <w:rPr>
          <w:rFonts w:ascii="Arial Narrow" w:hAnsi="Arial Narrow"/>
          <w:sz w:val="28"/>
          <w:szCs w:val="28"/>
        </w:rPr>
        <w:t>. Las presunciones estimadas bajo criterios de significancia estadística oscilan entre el 57.2% (Actividades Financieras y de Seguros) y el 75.92% (Comercio), con una media del 67.1%. Además del criterio de significancia estadística, se requiere evaluar qué tan bien, los modelos representan los datos observados. Según el Coeficiente de Determinación (</w:t>
      </w:r>
      <w:r w:rsidR="005D123A" w:rsidRPr="00F43F6B">
        <w:rPr>
          <w:rFonts w:ascii="Cambria Math" w:hAnsi="Cambria Math" w:cs="Cambria Math"/>
          <w:sz w:val="28"/>
          <w:szCs w:val="28"/>
        </w:rPr>
        <w:t>𝑅</w:t>
      </w:r>
      <w:r w:rsidR="005D123A" w:rsidRPr="00F43F6B">
        <w:rPr>
          <w:rFonts w:ascii="Arial Narrow" w:hAnsi="Arial Narrow"/>
          <w:sz w:val="28"/>
          <w:szCs w:val="28"/>
        </w:rPr>
        <w:t>^2), en promedio los modelos presentan un ajuste medio del 44%, que es alto para un estudio basado en microdatos</w:t>
      </w:r>
    </w:p>
    <w:p w14:paraId="21858D45" w14:textId="77777777" w:rsidR="008C1A52" w:rsidRPr="00F43F6B" w:rsidRDefault="00544063" w:rsidP="008C1A52">
      <w:pPr>
        <w:spacing w:after="0"/>
        <w:ind w:left="360"/>
        <w:jc w:val="both"/>
        <w:rPr>
          <w:rFonts w:ascii="Arial Narrow" w:hAnsi="Arial Narrow"/>
          <w:sz w:val="28"/>
          <w:szCs w:val="28"/>
        </w:rPr>
      </w:pPr>
      <w:r w:rsidRPr="00F43F6B">
        <w:rPr>
          <w:rFonts w:ascii="Arial Narrow" w:hAnsi="Arial Narrow"/>
          <w:sz w:val="28"/>
          <w:szCs w:val="28"/>
        </w:rPr>
        <w:t xml:space="preserve"> </w:t>
      </w:r>
      <w:r w:rsidR="008C1A52" w:rsidRPr="00F43F6B">
        <w:rPr>
          <w:rFonts w:ascii="Arial Narrow" w:hAnsi="Arial Narrow"/>
          <w:sz w:val="28"/>
          <w:szCs w:val="28"/>
        </w:rPr>
        <w:t>Figura 3.― Resultados de las Estimaciones</w:t>
      </w:r>
    </w:p>
    <w:p w14:paraId="1B894A4A" w14:textId="77777777" w:rsidR="005D123A" w:rsidRPr="00F43F6B" w:rsidRDefault="005D123A" w:rsidP="008C1A52">
      <w:pPr>
        <w:spacing w:after="0"/>
        <w:ind w:left="360"/>
        <w:jc w:val="both"/>
        <w:rPr>
          <w:rFonts w:ascii="Arial Narrow" w:hAnsi="Arial Narrow"/>
          <w:sz w:val="28"/>
          <w:szCs w:val="28"/>
        </w:rPr>
      </w:pPr>
      <w:r w:rsidRPr="00F43F6B">
        <w:rPr>
          <w:rFonts w:ascii="Arial Narrow" w:hAnsi="Arial Narrow"/>
          <w:noProof/>
          <w:sz w:val="28"/>
          <w:szCs w:val="28"/>
          <w:lang w:eastAsia="es-CO"/>
        </w:rPr>
        <w:drawing>
          <wp:inline distT="0" distB="0" distL="0" distR="0" wp14:anchorId="3B7326EC" wp14:editId="4BA8EFC5">
            <wp:extent cx="6305661" cy="2472514"/>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0111" cy="2474259"/>
                    </a:xfrm>
                    <a:prstGeom prst="rect">
                      <a:avLst/>
                    </a:prstGeom>
                    <a:noFill/>
                  </pic:spPr>
                </pic:pic>
              </a:graphicData>
            </a:graphic>
          </wp:inline>
        </w:drawing>
      </w:r>
    </w:p>
    <w:p w14:paraId="7CF3B186" w14:textId="77777777" w:rsidR="005D123A" w:rsidRPr="00F43F6B" w:rsidRDefault="005D123A" w:rsidP="00C371F0">
      <w:pPr>
        <w:spacing w:after="0"/>
        <w:ind w:left="357"/>
        <w:jc w:val="both"/>
        <w:rPr>
          <w:rFonts w:ascii="Arial Narrow" w:hAnsi="Arial Narrow"/>
          <w:sz w:val="28"/>
          <w:szCs w:val="28"/>
        </w:rPr>
      </w:pPr>
      <w:r w:rsidRPr="00F43F6B">
        <w:rPr>
          <w:rFonts w:ascii="Arial Narrow" w:hAnsi="Arial Narrow"/>
          <w:sz w:val="28"/>
          <w:szCs w:val="28"/>
        </w:rPr>
        <w:t>Fuente: Cálculos Propios</w:t>
      </w:r>
    </w:p>
    <w:p w14:paraId="2BEE6E2C" w14:textId="77777777" w:rsidR="00C371F0" w:rsidRPr="00F43F6B" w:rsidRDefault="00C371F0" w:rsidP="00C371F0">
      <w:pPr>
        <w:spacing w:after="0"/>
        <w:ind w:left="357"/>
        <w:jc w:val="both"/>
        <w:rPr>
          <w:rFonts w:ascii="Arial Narrow" w:hAnsi="Arial Narrow"/>
          <w:sz w:val="28"/>
          <w:szCs w:val="28"/>
        </w:rPr>
      </w:pPr>
    </w:p>
    <w:p w14:paraId="750557A3" w14:textId="77777777" w:rsidR="005D123A" w:rsidRPr="00F43F6B" w:rsidRDefault="00407064" w:rsidP="00407064">
      <w:pPr>
        <w:ind w:left="360"/>
        <w:jc w:val="both"/>
        <w:rPr>
          <w:rFonts w:ascii="Arial Narrow" w:hAnsi="Arial Narrow"/>
          <w:sz w:val="28"/>
          <w:szCs w:val="28"/>
        </w:rPr>
      </w:pPr>
      <w:r w:rsidRPr="00F43F6B">
        <w:rPr>
          <w:rFonts w:ascii="Arial Narrow" w:hAnsi="Arial Narrow"/>
          <w:sz w:val="28"/>
          <w:szCs w:val="28"/>
        </w:rPr>
        <w:t>Alternativamente, para valorar el ajuste de los modelos, se construye la ratio de las predicciones a los valores observados. La figura 4 resume, p</w:t>
      </w:r>
      <w:r w:rsidR="00454F45">
        <w:rPr>
          <w:rFonts w:ascii="Arial Narrow" w:hAnsi="Arial Narrow"/>
          <w:sz w:val="28"/>
          <w:szCs w:val="28"/>
        </w:rPr>
        <w:t>or</w:t>
      </w:r>
      <w:r w:rsidRPr="00F43F6B">
        <w:rPr>
          <w:rFonts w:ascii="Arial Narrow" w:hAnsi="Arial Narrow"/>
          <w:sz w:val="28"/>
          <w:szCs w:val="28"/>
        </w:rPr>
        <w:t xml:space="preserve"> actividad económica, estos niveles de ajuste, decil a decil:</w:t>
      </w:r>
    </w:p>
    <w:p w14:paraId="68FFF742" w14:textId="77777777" w:rsidR="00407064" w:rsidRPr="00F43F6B" w:rsidRDefault="00407064" w:rsidP="00407064">
      <w:pPr>
        <w:ind w:left="360"/>
        <w:jc w:val="both"/>
        <w:rPr>
          <w:rFonts w:ascii="Arial Narrow" w:hAnsi="Arial Narrow"/>
          <w:sz w:val="28"/>
          <w:szCs w:val="28"/>
        </w:rPr>
      </w:pPr>
      <w:r w:rsidRPr="00F43F6B">
        <w:rPr>
          <w:rFonts w:ascii="Arial Narrow" w:hAnsi="Arial Narrow"/>
          <w:sz w:val="28"/>
          <w:szCs w:val="28"/>
        </w:rPr>
        <w:t>Figura 4.― Ajuste de las predicciones por actividad económica</w:t>
      </w:r>
    </w:p>
    <w:p w14:paraId="3EBD804F" w14:textId="77777777" w:rsidR="00407064" w:rsidRPr="00F43F6B" w:rsidRDefault="00407064" w:rsidP="00407064">
      <w:pPr>
        <w:ind w:left="360"/>
        <w:jc w:val="both"/>
        <w:rPr>
          <w:rFonts w:ascii="Arial Narrow" w:hAnsi="Arial Narrow"/>
          <w:sz w:val="28"/>
          <w:szCs w:val="28"/>
        </w:rPr>
      </w:pPr>
      <w:r w:rsidRPr="00F43F6B">
        <w:rPr>
          <w:rFonts w:ascii="Arial Narrow" w:hAnsi="Arial Narrow"/>
          <w:noProof/>
          <w:sz w:val="28"/>
          <w:szCs w:val="28"/>
          <w:lang w:eastAsia="es-CO"/>
        </w:rPr>
        <w:drawing>
          <wp:inline distT="0" distB="0" distL="0" distR="0" wp14:anchorId="2B032FB6" wp14:editId="344A161C">
            <wp:extent cx="5771819" cy="2389352"/>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1509" cy="2389224"/>
                    </a:xfrm>
                    <a:prstGeom prst="rect">
                      <a:avLst/>
                    </a:prstGeom>
                    <a:noFill/>
                  </pic:spPr>
                </pic:pic>
              </a:graphicData>
            </a:graphic>
          </wp:inline>
        </w:drawing>
      </w:r>
    </w:p>
    <w:p w14:paraId="06F02EAB" w14:textId="77777777" w:rsidR="00407064" w:rsidRPr="00F43F6B" w:rsidRDefault="00407064" w:rsidP="00407064">
      <w:pPr>
        <w:ind w:left="360"/>
        <w:jc w:val="both"/>
        <w:rPr>
          <w:rFonts w:ascii="Arial Narrow" w:hAnsi="Arial Narrow"/>
          <w:sz w:val="28"/>
          <w:szCs w:val="28"/>
        </w:rPr>
      </w:pPr>
    </w:p>
    <w:p w14:paraId="473B130A" w14:textId="77777777" w:rsidR="00407064" w:rsidRPr="00F43F6B" w:rsidRDefault="00407064" w:rsidP="00407064">
      <w:pPr>
        <w:spacing w:after="0"/>
        <w:ind w:left="357"/>
        <w:jc w:val="both"/>
        <w:rPr>
          <w:rFonts w:ascii="Arial Narrow" w:hAnsi="Arial Narrow"/>
          <w:sz w:val="28"/>
          <w:szCs w:val="28"/>
        </w:rPr>
      </w:pPr>
      <w:r w:rsidRPr="00F43F6B">
        <w:rPr>
          <w:rFonts w:ascii="Arial Narrow" w:hAnsi="Arial Narrow"/>
          <w:sz w:val="28"/>
          <w:szCs w:val="28"/>
        </w:rPr>
        <w:t>Figura 4.― Ajuste de las predicciones por actividad económica (continuación)</w:t>
      </w:r>
    </w:p>
    <w:p w14:paraId="405633F6" w14:textId="77777777" w:rsidR="00407064" w:rsidRPr="00F43F6B" w:rsidRDefault="00407064" w:rsidP="00407064">
      <w:pPr>
        <w:spacing w:after="0"/>
        <w:ind w:left="357"/>
        <w:jc w:val="center"/>
        <w:rPr>
          <w:rFonts w:ascii="Arial Narrow" w:hAnsi="Arial Narrow"/>
          <w:sz w:val="28"/>
          <w:szCs w:val="28"/>
        </w:rPr>
      </w:pPr>
      <w:r w:rsidRPr="00F43F6B">
        <w:rPr>
          <w:rFonts w:ascii="Arial Narrow" w:hAnsi="Arial Narrow"/>
          <w:noProof/>
          <w:sz w:val="28"/>
          <w:szCs w:val="28"/>
          <w:lang w:eastAsia="es-CO"/>
        </w:rPr>
        <w:drawing>
          <wp:inline distT="0" distB="0" distL="0" distR="0" wp14:anchorId="193F0478" wp14:editId="219B3055">
            <wp:extent cx="5158696" cy="2730817"/>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6265" cy="2729530"/>
                    </a:xfrm>
                    <a:prstGeom prst="rect">
                      <a:avLst/>
                    </a:prstGeom>
                    <a:noFill/>
                  </pic:spPr>
                </pic:pic>
              </a:graphicData>
            </a:graphic>
          </wp:inline>
        </w:drawing>
      </w:r>
    </w:p>
    <w:p w14:paraId="4614293A" w14:textId="77777777" w:rsidR="00407064" w:rsidRPr="00F43F6B" w:rsidRDefault="00407064" w:rsidP="00407064">
      <w:pPr>
        <w:ind w:left="360"/>
        <w:jc w:val="both"/>
        <w:rPr>
          <w:rFonts w:ascii="Arial Narrow" w:hAnsi="Arial Narrow"/>
          <w:sz w:val="28"/>
          <w:szCs w:val="28"/>
        </w:rPr>
      </w:pPr>
      <w:r w:rsidRPr="00454F45">
        <w:rPr>
          <w:rFonts w:ascii="Arial Narrow" w:hAnsi="Arial Narrow"/>
          <w:szCs w:val="28"/>
        </w:rPr>
        <w:t>Fuente: Cálculos propios</w:t>
      </w:r>
      <w:r w:rsidRPr="00F43F6B">
        <w:rPr>
          <w:rFonts w:ascii="Arial Narrow" w:hAnsi="Arial Narrow"/>
          <w:sz w:val="28"/>
          <w:szCs w:val="28"/>
        </w:rPr>
        <w:t>.</w:t>
      </w:r>
    </w:p>
    <w:p w14:paraId="0E7E6D24" w14:textId="77777777" w:rsidR="00407064" w:rsidRPr="00F43F6B" w:rsidRDefault="00407064" w:rsidP="00407064">
      <w:pPr>
        <w:ind w:left="360"/>
        <w:jc w:val="both"/>
        <w:rPr>
          <w:rFonts w:ascii="Arial Narrow" w:hAnsi="Arial Narrow"/>
          <w:sz w:val="28"/>
          <w:szCs w:val="28"/>
        </w:rPr>
      </w:pPr>
      <w:r w:rsidRPr="00F43F6B">
        <w:rPr>
          <w:rFonts w:ascii="Arial Narrow" w:hAnsi="Arial Narrow"/>
          <w:sz w:val="28"/>
          <w:szCs w:val="28"/>
        </w:rPr>
        <w:t>Bajo esta aproximación, en el 70% de los casos, el ajuste de las predicciones tiene una desviación absoluta de hasta el 20%.</w:t>
      </w:r>
    </w:p>
    <w:p w14:paraId="232DB41A" w14:textId="77777777" w:rsidR="00407064" w:rsidRPr="00F43F6B" w:rsidRDefault="00407064" w:rsidP="00407064">
      <w:pPr>
        <w:pStyle w:val="Prrafodelista"/>
        <w:numPr>
          <w:ilvl w:val="0"/>
          <w:numId w:val="4"/>
        </w:numPr>
        <w:jc w:val="both"/>
        <w:rPr>
          <w:rFonts w:ascii="Arial Narrow" w:hAnsi="Arial Narrow"/>
          <w:sz w:val="28"/>
          <w:szCs w:val="28"/>
        </w:rPr>
      </w:pPr>
      <w:r w:rsidRPr="00F43F6B">
        <w:rPr>
          <w:rFonts w:ascii="Arial Narrow" w:hAnsi="Arial Narrow"/>
          <w:b/>
          <w:sz w:val="28"/>
          <w:szCs w:val="28"/>
        </w:rPr>
        <w:lastRenderedPageBreak/>
        <w:t>Comentarios, Conclusiones y Recomendaciones.―</w:t>
      </w:r>
      <w:r w:rsidR="00194349">
        <w:rPr>
          <w:rFonts w:ascii="Arial Narrow" w:hAnsi="Arial Narrow"/>
          <w:sz w:val="28"/>
          <w:szCs w:val="28"/>
        </w:rPr>
        <w:t xml:space="preserve"> La estimación </w:t>
      </w:r>
      <w:r w:rsidRPr="00F43F6B">
        <w:rPr>
          <w:rFonts w:ascii="Arial Narrow" w:hAnsi="Arial Narrow"/>
          <w:sz w:val="28"/>
          <w:szCs w:val="28"/>
        </w:rPr>
        <w:t>de los costos relativos de obligados frente al SPS es un estudio estadístico que genera presunciones de costos representativos y coherentes frente a requerimientos normativos como el del artículo 107 del estatuto tributario</w:t>
      </w:r>
      <w:r w:rsidR="0000380C" w:rsidRPr="00F43F6B">
        <w:rPr>
          <w:rFonts w:ascii="Arial Narrow" w:hAnsi="Arial Narrow"/>
          <w:sz w:val="28"/>
          <w:szCs w:val="28"/>
        </w:rPr>
        <w:t xml:space="preserve">: </w:t>
      </w:r>
      <w:r w:rsidRPr="00F43F6B">
        <w:rPr>
          <w:rFonts w:ascii="Arial Narrow" w:hAnsi="Arial Narrow"/>
          <w:sz w:val="28"/>
          <w:szCs w:val="28"/>
        </w:rPr>
        <w:t xml:space="preserve">Las presunciones de costos por sector reflejan lo que </w:t>
      </w:r>
      <w:r w:rsidR="00586F74" w:rsidRPr="00F43F6B">
        <w:rPr>
          <w:rFonts w:ascii="Arial Narrow" w:hAnsi="Arial Narrow"/>
          <w:sz w:val="28"/>
          <w:szCs w:val="28"/>
        </w:rPr>
        <w:t>individuos en cada industria y actividad económica, revelan respecto de su actividad económica ante la autoridad tributaria.</w:t>
      </w:r>
      <w:r w:rsidRPr="00F43F6B">
        <w:rPr>
          <w:rFonts w:ascii="Arial Narrow" w:hAnsi="Arial Narrow"/>
          <w:sz w:val="28"/>
          <w:szCs w:val="28"/>
        </w:rPr>
        <w:t xml:space="preserve"> </w:t>
      </w:r>
    </w:p>
    <w:p w14:paraId="2B6321DD" w14:textId="77777777" w:rsidR="00586F74" w:rsidRPr="00F43F6B" w:rsidRDefault="00586F74" w:rsidP="00407064">
      <w:pPr>
        <w:ind w:left="360"/>
        <w:jc w:val="both"/>
        <w:rPr>
          <w:rFonts w:ascii="Arial Narrow" w:hAnsi="Arial Narrow"/>
          <w:sz w:val="28"/>
          <w:szCs w:val="28"/>
        </w:rPr>
      </w:pPr>
      <w:r w:rsidRPr="00F43F6B">
        <w:rPr>
          <w:rFonts w:ascii="Arial Narrow" w:hAnsi="Arial Narrow"/>
          <w:sz w:val="28"/>
          <w:szCs w:val="28"/>
        </w:rPr>
        <w:t xml:space="preserve">No obstante, este estudio debe ser tenido en cuenta como un marco de referencia a partir del cual se determinan obligaciones parafiscales de los agentes económicos independientes con ingresos diferentes a los laborales y las rentas de capital. En efecto, se prevé la necesidad de </w:t>
      </w:r>
      <w:r w:rsidR="0000380C" w:rsidRPr="00F43F6B">
        <w:rPr>
          <w:rFonts w:ascii="Arial Narrow" w:hAnsi="Arial Narrow"/>
          <w:sz w:val="28"/>
          <w:szCs w:val="28"/>
        </w:rPr>
        <w:t>elaborar estudios de mayor precisión respecto de sectores y actividades que pueden presentar realidades económicas distintas a las que se resumen en una declaración tributaria: el agro es uno de estos sectores.</w:t>
      </w:r>
    </w:p>
    <w:p w14:paraId="1516DBA7" w14:textId="77777777" w:rsidR="0000380C" w:rsidRPr="00F43F6B" w:rsidRDefault="0000380C" w:rsidP="00407064">
      <w:pPr>
        <w:ind w:left="360"/>
        <w:jc w:val="both"/>
        <w:rPr>
          <w:rFonts w:ascii="Arial Narrow" w:hAnsi="Arial Narrow"/>
          <w:b/>
          <w:sz w:val="28"/>
          <w:szCs w:val="28"/>
          <w:lang w:val="en-US"/>
        </w:rPr>
      </w:pPr>
      <w:proofErr w:type="spellStart"/>
      <w:r w:rsidRPr="00F43F6B">
        <w:rPr>
          <w:rFonts w:ascii="Arial Narrow" w:hAnsi="Arial Narrow"/>
          <w:b/>
          <w:sz w:val="28"/>
          <w:szCs w:val="28"/>
          <w:lang w:val="en-US"/>
        </w:rPr>
        <w:t>Referencias</w:t>
      </w:r>
      <w:proofErr w:type="spellEnd"/>
    </w:p>
    <w:p w14:paraId="28F54A45" w14:textId="77777777" w:rsidR="0000380C" w:rsidRPr="00F43F6B" w:rsidRDefault="0000380C" w:rsidP="0000380C">
      <w:pPr>
        <w:pStyle w:val="Prrafodelista"/>
        <w:numPr>
          <w:ilvl w:val="0"/>
          <w:numId w:val="9"/>
        </w:numPr>
        <w:jc w:val="both"/>
        <w:rPr>
          <w:rFonts w:ascii="Arial Narrow" w:hAnsi="Arial Narrow"/>
          <w:sz w:val="28"/>
          <w:szCs w:val="28"/>
          <w:lang w:val="en-US"/>
        </w:rPr>
      </w:pPr>
      <w:r w:rsidRPr="00F43F6B">
        <w:rPr>
          <w:rFonts w:ascii="Arial Narrow" w:hAnsi="Arial Narrow"/>
          <w:sz w:val="28"/>
          <w:szCs w:val="28"/>
          <w:lang w:val="en-US"/>
        </w:rPr>
        <w:t xml:space="preserve">Angrist, J.D., and </w:t>
      </w:r>
      <w:proofErr w:type="spellStart"/>
      <w:r w:rsidRPr="00F43F6B">
        <w:rPr>
          <w:rFonts w:ascii="Arial Narrow" w:hAnsi="Arial Narrow"/>
          <w:sz w:val="28"/>
          <w:szCs w:val="28"/>
          <w:lang w:val="en-US"/>
        </w:rPr>
        <w:t>J.F.Pischke</w:t>
      </w:r>
      <w:proofErr w:type="spellEnd"/>
      <w:r w:rsidRPr="00F43F6B">
        <w:rPr>
          <w:rFonts w:ascii="Arial Narrow" w:hAnsi="Arial Narrow"/>
          <w:sz w:val="28"/>
          <w:szCs w:val="28"/>
          <w:lang w:val="en-US"/>
        </w:rPr>
        <w:t xml:space="preserve"> (2009): Mostly Harmless Econometrics. Princeton: Princeton University Press.</w:t>
      </w:r>
    </w:p>
    <w:p w14:paraId="652F002C" w14:textId="77777777" w:rsidR="0000380C" w:rsidRPr="00F43F6B" w:rsidRDefault="0000380C" w:rsidP="0000380C">
      <w:pPr>
        <w:pStyle w:val="Prrafodelista"/>
        <w:numPr>
          <w:ilvl w:val="0"/>
          <w:numId w:val="9"/>
        </w:numPr>
        <w:jc w:val="both"/>
        <w:rPr>
          <w:rFonts w:ascii="Arial Narrow" w:hAnsi="Arial Narrow"/>
          <w:sz w:val="28"/>
          <w:szCs w:val="28"/>
        </w:rPr>
      </w:pPr>
      <w:proofErr w:type="spellStart"/>
      <w:r w:rsidRPr="00F43F6B">
        <w:rPr>
          <w:rFonts w:ascii="Arial Narrow" w:hAnsi="Arial Narrow"/>
          <w:sz w:val="28"/>
          <w:szCs w:val="28"/>
        </w:rPr>
        <w:t>Angrist</w:t>
      </w:r>
      <w:proofErr w:type="spellEnd"/>
      <w:r w:rsidRPr="00F43F6B">
        <w:rPr>
          <w:rFonts w:ascii="Arial Narrow" w:hAnsi="Arial Narrow"/>
          <w:sz w:val="28"/>
          <w:szCs w:val="28"/>
        </w:rPr>
        <w:t xml:space="preserve">, J.D., and J.F. </w:t>
      </w:r>
      <w:proofErr w:type="spellStart"/>
      <w:r w:rsidRPr="00F43F6B">
        <w:rPr>
          <w:rFonts w:ascii="Arial Narrow" w:hAnsi="Arial Narrow"/>
          <w:sz w:val="28"/>
          <w:szCs w:val="28"/>
        </w:rPr>
        <w:t>Pischke</w:t>
      </w:r>
      <w:proofErr w:type="spellEnd"/>
      <w:r w:rsidRPr="00F43F6B">
        <w:rPr>
          <w:rFonts w:ascii="Arial Narrow" w:hAnsi="Arial Narrow"/>
          <w:sz w:val="28"/>
          <w:szCs w:val="28"/>
        </w:rPr>
        <w:t xml:space="preserve"> (2015): Dominar la Econometría. Barcelona: Antoni Bosch. </w:t>
      </w:r>
    </w:p>
    <w:p w14:paraId="57268049" w14:textId="77777777" w:rsidR="0000380C" w:rsidRPr="00F43F6B" w:rsidRDefault="0000380C" w:rsidP="0000380C">
      <w:pPr>
        <w:pStyle w:val="Prrafodelista"/>
        <w:numPr>
          <w:ilvl w:val="0"/>
          <w:numId w:val="9"/>
        </w:numPr>
        <w:jc w:val="both"/>
        <w:rPr>
          <w:rFonts w:ascii="Arial Narrow" w:hAnsi="Arial Narrow"/>
          <w:sz w:val="28"/>
          <w:szCs w:val="28"/>
          <w:lang w:val="en-US"/>
        </w:rPr>
      </w:pPr>
      <w:proofErr w:type="spellStart"/>
      <w:r w:rsidRPr="00F43F6B">
        <w:rPr>
          <w:rFonts w:ascii="Arial Narrow" w:hAnsi="Arial Narrow"/>
          <w:sz w:val="28"/>
          <w:szCs w:val="28"/>
          <w:lang w:val="en-US"/>
        </w:rPr>
        <w:t>Asteriou</w:t>
      </w:r>
      <w:proofErr w:type="spellEnd"/>
      <w:r w:rsidRPr="00F43F6B">
        <w:rPr>
          <w:rFonts w:ascii="Arial Narrow" w:hAnsi="Arial Narrow"/>
          <w:sz w:val="28"/>
          <w:szCs w:val="28"/>
          <w:lang w:val="en-US"/>
        </w:rPr>
        <w:t>, D. and S.G. Hall (2011): Applied Econometrics. N.Y.: Palgrave.</w:t>
      </w:r>
    </w:p>
    <w:p w14:paraId="7B14445C" w14:textId="77777777" w:rsidR="0000380C" w:rsidRPr="00F43F6B" w:rsidRDefault="0000380C" w:rsidP="0000380C">
      <w:pPr>
        <w:pStyle w:val="Prrafodelista"/>
        <w:numPr>
          <w:ilvl w:val="0"/>
          <w:numId w:val="9"/>
        </w:numPr>
        <w:jc w:val="both"/>
        <w:rPr>
          <w:rFonts w:ascii="Arial Narrow" w:hAnsi="Arial Narrow"/>
          <w:sz w:val="28"/>
          <w:szCs w:val="28"/>
          <w:lang w:val="en-US"/>
        </w:rPr>
      </w:pPr>
      <w:r w:rsidRPr="00F43F6B">
        <w:rPr>
          <w:rFonts w:ascii="Arial Narrow" w:hAnsi="Arial Narrow"/>
          <w:sz w:val="28"/>
          <w:szCs w:val="28"/>
          <w:lang w:val="en-US"/>
        </w:rPr>
        <w:t xml:space="preserve">Cameron, A.C. and P.K. </w:t>
      </w:r>
      <w:proofErr w:type="spellStart"/>
      <w:r w:rsidRPr="00F43F6B">
        <w:rPr>
          <w:rFonts w:ascii="Arial Narrow" w:hAnsi="Arial Narrow"/>
          <w:sz w:val="28"/>
          <w:szCs w:val="28"/>
          <w:lang w:val="en-US"/>
        </w:rPr>
        <w:t>Triverdi</w:t>
      </w:r>
      <w:proofErr w:type="spellEnd"/>
      <w:r w:rsidRPr="00F43F6B">
        <w:rPr>
          <w:rFonts w:ascii="Arial Narrow" w:hAnsi="Arial Narrow"/>
          <w:sz w:val="28"/>
          <w:szCs w:val="28"/>
          <w:lang w:val="en-US"/>
        </w:rPr>
        <w:t xml:space="preserve"> (2005): </w:t>
      </w:r>
      <w:proofErr w:type="spellStart"/>
      <w:r w:rsidRPr="00F43F6B">
        <w:rPr>
          <w:rFonts w:ascii="Arial Narrow" w:hAnsi="Arial Narrow"/>
          <w:sz w:val="28"/>
          <w:szCs w:val="28"/>
          <w:lang w:val="en-US"/>
        </w:rPr>
        <w:t>Microeconometrics</w:t>
      </w:r>
      <w:proofErr w:type="spellEnd"/>
      <w:r w:rsidRPr="00F43F6B">
        <w:rPr>
          <w:rFonts w:ascii="Arial Narrow" w:hAnsi="Arial Narrow"/>
          <w:sz w:val="28"/>
          <w:szCs w:val="28"/>
          <w:lang w:val="en-US"/>
        </w:rPr>
        <w:t>, Methods and Applications. Cambridge: Cambridge University Press.</w:t>
      </w:r>
    </w:p>
    <w:p w14:paraId="538F8770" w14:textId="77777777" w:rsidR="0000380C" w:rsidRPr="00F43F6B" w:rsidRDefault="0000380C" w:rsidP="0000380C">
      <w:pPr>
        <w:pStyle w:val="Prrafodelista"/>
        <w:numPr>
          <w:ilvl w:val="0"/>
          <w:numId w:val="9"/>
        </w:numPr>
        <w:jc w:val="both"/>
        <w:rPr>
          <w:rFonts w:ascii="Arial Narrow" w:hAnsi="Arial Narrow"/>
          <w:sz w:val="28"/>
          <w:szCs w:val="28"/>
          <w:lang w:val="en-US"/>
        </w:rPr>
      </w:pPr>
      <w:r w:rsidRPr="00F43F6B">
        <w:rPr>
          <w:rFonts w:ascii="Arial Narrow" w:hAnsi="Arial Narrow"/>
          <w:sz w:val="28"/>
          <w:szCs w:val="28"/>
          <w:lang w:val="en-US"/>
        </w:rPr>
        <w:t xml:space="preserve">Cameron, A.C. and P.K. </w:t>
      </w:r>
      <w:proofErr w:type="spellStart"/>
      <w:r w:rsidRPr="00F43F6B">
        <w:rPr>
          <w:rFonts w:ascii="Arial Narrow" w:hAnsi="Arial Narrow"/>
          <w:sz w:val="28"/>
          <w:szCs w:val="28"/>
          <w:lang w:val="en-US"/>
        </w:rPr>
        <w:t>Triverdi</w:t>
      </w:r>
      <w:proofErr w:type="spellEnd"/>
      <w:r w:rsidRPr="00F43F6B">
        <w:rPr>
          <w:rFonts w:ascii="Arial Narrow" w:hAnsi="Arial Narrow"/>
          <w:sz w:val="28"/>
          <w:szCs w:val="28"/>
          <w:lang w:val="en-US"/>
        </w:rPr>
        <w:t xml:space="preserve"> (2009): </w:t>
      </w:r>
      <w:proofErr w:type="spellStart"/>
      <w:r w:rsidRPr="00F43F6B">
        <w:rPr>
          <w:rFonts w:ascii="Arial Narrow" w:hAnsi="Arial Narrow"/>
          <w:sz w:val="28"/>
          <w:szCs w:val="28"/>
          <w:lang w:val="en-US"/>
        </w:rPr>
        <w:t>Microeconometrics</w:t>
      </w:r>
      <w:proofErr w:type="spellEnd"/>
      <w:r w:rsidRPr="00F43F6B">
        <w:rPr>
          <w:rFonts w:ascii="Arial Narrow" w:hAnsi="Arial Narrow"/>
          <w:sz w:val="28"/>
          <w:szCs w:val="28"/>
          <w:lang w:val="en-US"/>
        </w:rPr>
        <w:t xml:space="preserve"> Using STATA, Revised Edition. College </w:t>
      </w:r>
      <w:proofErr w:type="spellStart"/>
      <w:r w:rsidRPr="00F43F6B">
        <w:rPr>
          <w:rFonts w:ascii="Arial Narrow" w:hAnsi="Arial Narrow"/>
          <w:sz w:val="28"/>
          <w:szCs w:val="28"/>
          <w:lang w:val="en-US"/>
        </w:rPr>
        <w:t>Sation</w:t>
      </w:r>
      <w:proofErr w:type="spellEnd"/>
      <w:r w:rsidRPr="00F43F6B">
        <w:rPr>
          <w:rFonts w:ascii="Arial Narrow" w:hAnsi="Arial Narrow"/>
          <w:sz w:val="28"/>
          <w:szCs w:val="28"/>
          <w:lang w:val="en-US"/>
        </w:rPr>
        <w:t xml:space="preserve"> (TX): The STATA Press.</w:t>
      </w:r>
    </w:p>
    <w:p w14:paraId="444BC401" w14:textId="77777777" w:rsidR="0000380C" w:rsidRPr="0000380C" w:rsidRDefault="0000380C" w:rsidP="00407064">
      <w:pPr>
        <w:ind w:left="360"/>
        <w:jc w:val="both"/>
        <w:rPr>
          <w:lang w:val="en-US"/>
        </w:rPr>
      </w:pPr>
    </w:p>
    <w:sectPr w:rsidR="0000380C" w:rsidRPr="000038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D25AF"/>
    <w:multiLevelType w:val="hybridMultilevel"/>
    <w:tmpl w:val="FA3EC76C"/>
    <w:lvl w:ilvl="0" w:tplc="703C1758">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9E63DE"/>
    <w:multiLevelType w:val="hybridMultilevel"/>
    <w:tmpl w:val="D2187948"/>
    <w:lvl w:ilvl="0" w:tplc="9D86C902">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0D6915"/>
    <w:multiLevelType w:val="hybridMultilevel"/>
    <w:tmpl w:val="12EE7D1C"/>
    <w:lvl w:ilvl="0" w:tplc="7E7825D0">
      <w:start w:val="1"/>
      <w:numFmt w:val="decimal"/>
      <w:lvlText w:val="[%1.]"/>
      <w:lvlJc w:val="left"/>
      <w:pPr>
        <w:ind w:left="1080" w:hanging="360"/>
      </w:pPr>
      <w:rPr>
        <w:rFonts w:hint="default"/>
        <w:strike w:val="0"/>
        <w:dstrike w:val="0"/>
        <w:sz w:val="22"/>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527C229C"/>
    <w:multiLevelType w:val="hybridMultilevel"/>
    <w:tmpl w:val="976214E4"/>
    <w:lvl w:ilvl="0" w:tplc="7EC4BC0C">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48D5BBE"/>
    <w:multiLevelType w:val="hybridMultilevel"/>
    <w:tmpl w:val="5C8E287C"/>
    <w:lvl w:ilvl="0" w:tplc="82800036">
      <w:start w:val="1"/>
      <w:numFmt w:val="decimal"/>
      <w:lvlText w:val="[%1.]"/>
      <w:lvlJc w:val="left"/>
      <w:pPr>
        <w:ind w:left="1080" w:hanging="360"/>
      </w:pPr>
      <w:rPr>
        <w:rFonts w:hint="default"/>
        <w:strike w:val="0"/>
        <w:dstrike w:val="0"/>
        <w:sz w:val="28"/>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69540AAB"/>
    <w:multiLevelType w:val="hybridMultilevel"/>
    <w:tmpl w:val="329CD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EC26653"/>
    <w:multiLevelType w:val="hybridMultilevel"/>
    <w:tmpl w:val="8FA40D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DF26EC8"/>
    <w:multiLevelType w:val="hybridMultilevel"/>
    <w:tmpl w:val="6AAEEC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EF7241D"/>
    <w:multiLevelType w:val="hybridMultilevel"/>
    <w:tmpl w:val="70DC15E4"/>
    <w:lvl w:ilvl="0" w:tplc="C7941B7A">
      <w:start w:val="1"/>
      <w:numFmt w:val="bullet"/>
      <w:lvlText w:val=""/>
      <w:lvlJc w:val="left"/>
      <w:pPr>
        <w:ind w:left="1080" w:hanging="360"/>
      </w:pPr>
      <w:rPr>
        <w:rFonts w:ascii="Wingdings" w:hAnsi="Wingdings" w:hint="default"/>
        <w:strike w:val="0"/>
        <w:dstrike w:val="0"/>
        <w:sz w:val="28"/>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32"/>
    <w:rsid w:val="0000380C"/>
    <w:rsid w:val="000408EB"/>
    <w:rsid w:val="00094CEA"/>
    <w:rsid w:val="00194349"/>
    <w:rsid w:val="002B02C7"/>
    <w:rsid w:val="002C1065"/>
    <w:rsid w:val="002C6FBF"/>
    <w:rsid w:val="00311426"/>
    <w:rsid w:val="0032756D"/>
    <w:rsid w:val="00334723"/>
    <w:rsid w:val="0037215E"/>
    <w:rsid w:val="00407064"/>
    <w:rsid w:val="00454F45"/>
    <w:rsid w:val="00544063"/>
    <w:rsid w:val="00586F74"/>
    <w:rsid w:val="005D123A"/>
    <w:rsid w:val="005F7758"/>
    <w:rsid w:val="00616399"/>
    <w:rsid w:val="006A0C32"/>
    <w:rsid w:val="00737E5F"/>
    <w:rsid w:val="007A2AC7"/>
    <w:rsid w:val="007C3D59"/>
    <w:rsid w:val="007D1825"/>
    <w:rsid w:val="00803BF6"/>
    <w:rsid w:val="008C1A52"/>
    <w:rsid w:val="008C730F"/>
    <w:rsid w:val="00914E99"/>
    <w:rsid w:val="0095379F"/>
    <w:rsid w:val="009861C7"/>
    <w:rsid w:val="009C49C4"/>
    <w:rsid w:val="009F5632"/>
    <w:rsid w:val="00A00E61"/>
    <w:rsid w:val="00A47BD1"/>
    <w:rsid w:val="00C371F0"/>
    <w:rsid w:val="00CB73BF"/>
    <w:rsid w:val="00CD17B7"/>
    <w:rsid w:val="00CF776A"/>
    <w:rsid w:val="00D54B75"/>
    <w:rsid w:val="00DA5DAD"/>
    <w:rsid w:val="00DC1EE1"/>
    <w:rsid w:val="00DE699B"/>
    <w:rsid w:val="00DE7125"/>
    <w:rsid w:val="00E32C97"/>
    <w:rsid w:val="00E55CDF"/>
    <w:rsid w:val="00EA7F9D"/>
    <w:rsid w:val="00EE63F6"/>
    <w:rsid w:val="00F25A7B"/>
    <w:rsid w:val="00F43F6B"/>
    <w:rsid w:val="00F760B3"/>
    <w:rsid w:val="00F82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96A8"/>
  <w15:docId w15:val="{B3035DBA-8C33-44EF-B2CC-630FA71F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5632"/>
    <w:pPr>
      <w:ind w:left="720"/>
      <w:contextualSpacing/>
    </w:pPr>
  </w:style>
  <w:style w:type="character" w:styleId="Hipervnculo">
    <w:name w:val="Hyperlink"/>
    <w:basedOn w:val="Fuentedeprrafopredeter"/>
    <w:uiPriority w:val="99"/>
    <w:unhideWhenUsed/>
    <w:rsid w:val="00311426"/>
    <w:rPr>
      <w:color w:val="0000FF" w:themeColor="hyperlink"/>
      <w:u w:val="single"/>
    </w:rPr>
  </w:style>
  <w:style w:type="paragraph" w:styleId="Textodeglobo">
    <w:name w:val="Balloon Text"/>
    <w:basedOn w:val="Normal"/>
    <w:link w:val="TextodegloboCar"/>
    <w:uiPriority w:val="99"/>
    <w:semiHidden/>
    <w:unhideWhenUsed/>
    <w:rsid w:val="002B0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2C7"/>
    <w:rPr>
      <w:rFonts w:ascii="Tahoma" w:hAnsi="Tahoma" w:cs="Tahoma"/>
      <w:sz w:val="16"/>
      <w:szCs w:val="16"/>
    </w:rPr>
  </w:style>
  <w:style w:type="character" w:styleId="Textodelmarcadordeposicin">
    <w:name w:val="Placeholder Text"/>
    <w:basedOn w:val="Fuentedeprrafopredeter"/>
    <w:uiPriority w:val="99"/>
    <w:semiHidden/>
    <w:rsid w:val="00DA5DAD"/>
    <w:rPr>
      <w:color w:val="808080"/>
    </w:rPr>
  </w:style>
  <w:style w:type="paragraph" w:styleId="NormalWeb">
    <w:name w:val="Normal (Web)"/>
    <w:basedOn w:val="Normal"/>
    <w:uiPriority w:val="99"/>
    <w:semiHidden/>
    <w:unhideWhenUsed/>
    <w:rsid w:val="00F25A7B"/>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concuadrcula">
    <w:name w:val="Table Grid"/>
    <w:basedOn w:val="Tablanormal"/>
    <w:uiPriority w:val="59"/>
    <w:rsid w:val="0054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398057">
      <w:bodyDiv w:val="1"/>
      <w:marLeft w:val="0"/>
      <w:marRight w:val="0"/>
      <w:marTop w:val="0"/>
      <w:marBottom w:val="0"/>
      <w:divBdr>
        <w:top w:val="none" w:sz="0" w:space="0" w:color="auto"/>
        <w:left w:val="none" w:sz="0" w:space="0" w:color="auto"/>
        <w:bottom w:val="none" w:sz="0" w:space="0" w:color="auto"/>
        <w:right w:val="none" w:sz="0" w:space="0" w:color="auto"/>
      </w:divBdr>
    </w:div>
    <w:div w:id="1638758099">
      <w:bodyDiv w:val="1"/>
      <w:marLeft w:val="0"/>
      <w:marRight w:val="0"/>
      <w:marTop w:val="0"/>
      <w:marBottom w:val="0"/>
      <w:divBdr>
        <w:top w:val="none" w:sz="0" w:space="0" w:color="auto"/>
        <w:left w:val="none" w:sz="0" w:space="0" w:color="auto"/>
        <w:bottom w:val="none" w:sz="0" w:space="0" w:color="auto"/>
        <w:right w:val="none" w:sz="0" w:space="0" w:color="auto"/>
      </w:divBdr>
      <w:divsChild>
        <w:div w:id="354162236">
          <w:marLeft w:val="1886"/>
          <w:marRight w:val="0"/>
          <w:marTop w:val="0"/>
          <w:marBottom w:val="0"/>
          <w:divBdr>
            <w:top w:val="none" w:sz="0" w:space="0" w:color="auto"/>
            <w:left w:val="none" w:sz="0" w:space="0" w:color="auto"/>
            <w:bottom w:val="none" w:sz="0" w:space="0" w:color="auto"/>
            <w:right w:val="none" w:sz="0" w:space="0" w:color="auto"/>
          </w:divBdr>
        </w:div>
        <w:div w:id="171798642">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ugpp.gov.co/sites/default/files/sites/default/files/nuestra_unidad/Resolucion-1400.pdf"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2403</Words>
  <Characters>13218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SEGURA ORTIZ</dc:creator>
  <cp:lastModifiedBy>MARIBEL GONZALEZ BENAVIDES</cp:lastModifiedBy>
  <cp:revision>2</cp:revision>
  <dcterms:created xsi:type="dcterms:W3CDTF">2020-03-03T13:01:00Z</dcterms:created>
  <dcterms:modified xsi:type="dcterms:W3CDTF">2020-03-03T13:01:00Z</dcterms:modified>
</cp:coreProperties>
</file>