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781C4" w14:textId="4FC67ADF" w:rsidR="007F5BA6" w:rsidRPr="00393E59" w:rsidRDefault="00DA4ECE" w:rsidP="00BE62B3">
      <w:pPr>
        <w:spacing w:after="0" w:line="240" w:lineRule="auto"/>
        <w:jc w:val="center"/>
        <w:rPr>
          <w:rFonts w:ascii="Arial" w:hAnsi="Arial" w:cs="Arial"/>
          <w:b/>
        </w:rPr>
      </w:pPr>
      <w:r w:rsidRPr="00393E59">
        <w:rPr>
          <w:rFonts w:ascii="Arial" w:hAnsi="Arial" w:cs="Arial"/>
          <w:b/>
        </w:rPr>
        <w:t>INFORME  GLOBAL</w:t>
      </w:r>
      <w:r w:rsidR="00393E59" w:rsidRPr="00393E59">
        <w:rPr>
          <w:rFonts w:ascii="Arial" w:hAnsi="Arial" w:cs="Arial"/>
          <w:b/>
        </w:rPr>
        <w:t xml:space="preserve"> DE COMENTARIOS</w:t>
      </w:r>
      <w:r w:rsidR="00515781">
        <w:rPr>
          <w:rFonts w:ascii="Arial" w:hAnsi="Arial" w:cs="Arial"/>
          <w:b/>
        </w:rPr>
        <w:t>- RESOLUCION 1560 DE 2019</w:t>
      </w:r>
    </w:p>
    <w:p w14:paraId="6BE9FFC9" w14:textId="77777777" w:rsidR="00552AA5" w:rsidRPr="00393E59" w:rsidRDefault="00552AA5" w:rsidP="00BE62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052438F" w14:textId="77777777" w:rsidR="00393E59" w:rsidRPr="00393E59" w:rsidRDefault="00393E59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hAnsi="Arial" w:cs="Arial"/>
          <w:sz w:val="28"/>
          <w:szCs w:val="28"/>
        </w:rPr>
      </w:pPr>
    </w:p>
    <w:p w14:paraId="45C0ADD2" w14:textId="77777777" w:rsidR="00393E59" w:rsidRPr="00393E59" w:rsidRDefault="00393E59" w:rsidP="00393E59">
      <w:pPr>
        <w:pStyle w:val="Textoindependiente"/>
        <w:widowControl/>
        <w:rPr>
          <w:b/>
          <w:sz w:val="20"/>
          <w:szCs w:val="20"/>
        </w:rPr>
      </w:pPr>
      <w:r w:rsidRPr="00393E59">
        <w:rPr>
          <w:b/>
          <w:sz w:val="22"/>
          <w:szCs w:val="22"/>
        </w:rPr>
        <w:t xml:space="preserve">1. </w:t>
      </w:r>
      <w:r w:rsidRPr="00393E59">
        <w:rPr>
          <w:b/>
          <w:sz w:val="20"/>
          <w:szCs w:val="20"/>
        </w:rPr>
        <w:t>PROYECTO NORMATIVO</w:t>
      </w:r>
    </w:p>
    <w:p w14:paraId="0BD9322D" w14:textId="77777777" w:rsidR="00393E59" w:rsidRPr="00393E59" w:rsidRDefault="00393E59" w:rsidP="00393E59">
      <w:pPr>
        <w:pStyle w:val="Textoindependiente"/>
        <w:widowControl/>
        <w:rPr>
          <w:rFonts w:eastAsiaTheme="minorHAnsi"/>
          <w:sz w:val="20"/>
          <w:szCs w:val="20"/>
          <w:lang w:val="es-CO" w:eastAsia="en-US"/>
        </w:rPr>
      </w:pPr>
    </w:p>
    <w:p w14:paraId="26669681" w14:textId="65140B7D" w:rsidR="00393E59" w:rsidRPr="00393E59" w:rsidRDefault="00393E59" w:rsidP="00393E5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393E59">
        <w:rPr>
          <w:rFonts w:ascii="Arial" w:hAnsi="Arial" w:cs="Arial"/>
          <w:sz w:val="20"/>
          <w:szCs w:val="20"/>
        </w:rPr>
        <w:t>La Unidad de Gestión Pensional y Parafiscales, gestiona el proyecto de resolución:</w:t>
      </w:r>
      <w:r w:rsidRPr="00393E59">
        <w:rPr>
          <w:rFonts w:ascii="Arial" w:hAnsi="Arial" w:cs="Arial"/>
          <w:i/>
          <w:sz w:val="20"/>
          <w:szCs w:val="20"/>
        </w:rPr>
        <w:t xml:space="preserve"> “</w:t>
      </w:r>
      <w:r w:rsidR="00D51702" w:rsidRPr="00515781">
        <w:rPr>
          <w:rFonts w:ascii="Arial" w:eastAsia="Times New Roman" w:hAnsi="Arial" w:cs="Arial"/>
          <w:b/>
          <w:i/>
        </w:rPr>
        <w:t>Por el cual se fija el contenido y características técnicas para la presentación de la información de contacto  solicitada por la Unidad Administrativa Especial de Gestión Pensional y Contribuciones Parafiscales de la Protección Social -UGPP, conforme lo establecido en el Artículo 2.12.7.3 del Decreto 1068 de 2015</w:t>
      </w:r>
      <w:r w:rsidRPr="00515781">
        <w:rPr>
          <w:rFonts w:ascii="Arial" w:hAnsi="Arial" w:cs="Arial"/>
          <w:b/>
          <w:i/>
          <w:sz w:val="18"/>
          <w:szCs w:val="18"/>
        </w:rPr>
        <w:t>”</w:t>
      </w:r>
    </w:p>
    <w:p w14:paraId="4DBFE812" w14:textId="77777777" w:rsidR="00393E59" w:rsidRDefault="00393E59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2CD69CFD" w14:textId="003B026A" w:rsidR="00393E59" w:rsidRDefault="00393E59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93E59">
        <w:rPr>
          <w:rFonts w:ascii="Arial" w:eastAsia="Times New Roman" w:hAnsi="Arial" w:cs="Arial"/>
          <w:b/>
          <w:sz w:val="20"/>
          <w:szCs w:val="20"/>
          <w:lang w:val="es-ES" w:eastAsia="es-ES"/>
        </w:rPr>
        <w:t>2.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A4104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INFORME GLOBAL</w:t>
      </w:r>
    </w:p>
    <w:p w14:paraId="47B15EC9" w14:textId="77777777" w:rsidR="00A41047" w:rsidRDefault="00A41047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3C273B80" w14:textId="5F0602DF" w:rsidR="00C05B3B" w:rsidRDefault="00393E59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393E59">
        <w:rPr>
          <w:rFonts w:ascii="Arial" w:eastAsia="Times New Roman" w:hAnsi="Arial" w:cs="Arial"/>
          <w:b/>
          <w:sz w:val="20"/>
          <w:szCs w:val="20"/>
          <w:lang w:val="es-ES" w:eastAsia="es-ES"/>
        </w:rPr>
        <w:t>2.1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A4104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COMENTARIOS </w:t>
      </w:r>
      <w:r w:rsidR="007E1067">
        <w:rPr>
          <w:rFonts w:ascii="Arial" w:eastAsia="Times New Roman" w:hAnsi="Arial" w:cs="Arial"/>
          <w:b/>
          <w:sz w:val="20"/>
          <w:szCs w:val="20"/>
          <w:lang w:val="es-ES" w:eastAsia="es-ES"/>
        </w:rPr>
        <w:t>A</w:t>
      </w:r>
      <w:r w:rsidR="00C05B3B">
        <w:rPr>
          <w:rFonts w:ascii="Arial" w:eastAsia="Times New Roman" w:hAnsi="Arial" w:cs="Arial"/>
          <w:b/>
          <w:sz w:val="20"/>
          <w:szCs w:val="20"/>
          <w:lang w:val="es-ES" w:eastAsia="es-ES"/>
        </w:rPr>
        <w:t>L PROYECTO NORMATIVO</w:t>
      </w:r>
    </w:p>
    <w:p w14:paraId="6E20AC93" w14:textId="77777777" w:rsidR="00C05B3B" w:rsidRDefault="00C05B3B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4A90FA3" w14:textId="643AF150" w:rsidR="007E1067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2.1.1  </w:t>
      </w:r>
      <w:r w:rsidRPr="0017601A">
        <w:rPr>
          <w:rFonts w:ascii="Arial" w:eastAsia="Times New Roman" w:hAnsi="Arial" w:cs="Arial"/>
          <w:b/>
          <w:sz w:val="20"/>
          <w:szCs w:val="20"/>
          <w:lang w:val="es-ES" w:eastAsia="es-ES"/>
        </w:rPr>
        <w:t>THOMAS GREG &amp; SON</w:t>
      </w:r>
    </w:p>
    <w:p w14:paraId="58EC9D74" w14:textId="77777777" w:rsidR="0017601A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4C9A5E5" w14:textId="23FC7C2E" w:rsidR="007E1067" w:rsidRPr="00E317A3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>La información solicitada  puede tomarse de las base d</w:t>
      </w:r>
      <w:r w:rsidR="006B7F00">
        <w:rPr>
          <w:rFonts w:ascii="Arial" w:eastAsia="Times New Roman" w:hAnsi="Arial" w:cs="Arial"/>
          <w:lang w:val="es-ES" w:eastAsia="es-ES"/>
        </w:rPr>
        <w:t xml:space="preserve">e datos  de otros organismos  (Superintendencia de Industria y Comercio </w:t>
      </w:r>
      <w:r w:rsidRPr="00E317A3">
        <w:rPr>
          <w:rFonts w:ascii="Arial" w:eastAsia="Times New Roman" w:hAnsi="Arial" w:cs="Arial"/>
          <w:lang w:val="es-ES" w:eastAsia="es-ES"/>
        </w:rPr>
        <w:t>y otras similares)</w:t>
      </w:r>
    </w:p>
    <w:p w14:paraId="519DAFBF" w14:textId="77777777" w:rsidR="0017601A" w:rsidRPr="00E317A3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lang w:val="es-ES" w:eastAsia="es-ES"/>
        </w:rPr>
      </w:pPr>
    </w:p>
    <w:p w14:paraId="26EE3F8C" w14:textId="55DCE20F" w:rsidR="007E1067" w:rsidRPr="00E317A3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 xml:space="preserve">Se </w:t>
      </w:r>
      <w:r w:rsidR="00E317A3">
        <w:rPr>
          <w:rFonts w:ascii="Arial" w:eastAsia="Times New Roman" w:hAnsi="Arial" w:cs="Arial"/>
          <w:lang w:val="es-ES" w:eastAsia="es-ES"/>
        </w:rPr>
        <w:t xml:space="preserve">trata de una </w:t>
      </w:r>
      <w:r w:rsidRPr="00E317A3">
        <w:rPr>
          <w:rFonts w:ascii="Arial" w:eastAsia="Times New Roman" w:hAnsi="Arial" w:cs="Arial"/>
          <w:lang w:val="es-ES" w:eastAsia="es-ES"/>
        </w:rPr>
        <w:t xml:space="preserve"> obligación meramente formal  sin tener en cuenta el contenido sustancial de los datos personales a suministrar</w:t>
      </w:r>
    </w:p>
    <w:p w14:paraId="2B7C4B0C" w14:textId="77777777" w:rsidR="0017601A" w:rsidRPr="00E317A3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lang w:val="es-ES" w:eastAsia="es-ES"/>
        </w:rPr>
      </w:pPr>
    </w:p>
    <w:p w14:paraId="296C1285" w14:textId="15D93B89" w:rsidR="0017601A" w:rsidRPr="00E317A3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>Se impone una obligación  adicional de exigir organización y reporte de información, por tanto presentarla en forma diferente no puede ser objeto de sanción</w:t>
      </w:r>
    </w:p>
    <w:p w14:paraId="75E38C2B" w14:textId="77777777" w:rsidR="0017601A" w:rsidRPr="00E317A3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lang w:val="es-ES" w:eastAsia="es-ES"/>
        </w:rPr>
      </w:pPr>
    </w:p>
    <w:p w14:paraId="35853DF1" w14:textId="77777777" w:rsidR="0017601A" w:rsidRPr="00E317A3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 xml:space="preserve">No existe certeza que la información  personal entregada  por el titular  del dato sea correcta o esté completa o desactualizada de manera que mal podría la entidad sancionar por esta </w:t>
      </w:r>
    </w:p>
    <w:p w14:paraId="5A57D2EA" w14:textId="5947648C" w:rsidR="0017601A" w:rsidRPr="00E317A3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>Causa</w:t>
      </w:r>
    </w:p>
    <w:p w14:paraId="73E4323D" w14:textId="77777777" w:rsidR="0017601A" w:rsidRPr="00E317A3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lang w:val="es-ES" w:eastAsia="es-ES"/>
        </w:rPr>
      </w:pPr>
    </w:p>
    <w:p w14:paraId="429197A0" w14:textId="15F2B04B" w:rsidR="0017601A" w:rsidRPr="00E317A3" w:rsidRDefault="0017601A" w:rsidP="00146298">
      <w:pPr>
        <w:autoSpaceDE w:val="0"/>
        <w:autoSpaceDN w:val="0"/>
        <w:adjustRightInd w:val="0"/>
        <w:spacing w:after="0" w:line="191" w:lineRule="atLeast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>Se debe contemplar mecanismos que permitan corregir y/o complementar la información sin lugar a sanción por inexactitud del reporte</w:t>
      </w:r>
    </w:p>
    <w:p w14:paraId="1C6A2110" w14:textId="77777777" w:rsidR="00BE62B3" w:rsidRPr="00E317A3" w:rsidRDefault="00BE62B3" w:rsidP="00BE62B3">
      <w:pPr>
        <w:spacing w:after="0" w:line="240" w:lineRule="auto"/>
        <w:jc w:val="both"/>
        <w:rPr>
          <w:rFonts w:ascii="Arial" w:hAnsi="Arial" w:cs="Arial"/>
          <w:i/>
          <w:lang w:val="es-ES"/>
        </w:rPr>
      </w:pPr>
    </w:p>
    <w:p w14:paraId="49386B71" w14:textId="3A158D98" w:rsidR="00EA2124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E317A3">
        <w:rPr>
          <w:rFonts w:ascii="Arial" w:eastAsia="Times New Roman" w:hAnsi="Arial" w:cs="Arial"/>
          <w:b/>
          <w:lang w:val="es-ES" w:eastAsia="es-ES"/>
        </w:rPr>
        <w:t>2.1.2.  ASOFONDOS</w:t>
      </w:r>
    </w:p>
    <w:p w14:paraId="10CD968E" w14:textId="77777777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7E5C90C" w14:textId="379D8851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 xml:space="preserve">En el detalle de la información incluir un campo donde se detalle si la </w:t>
      </w:r>
      <w:r w:rsidR="00E43B1A" w:rsidRPr="00E317A3">
        <w:rPr>
          <w:rFonts w:ascii="Arial" w:eastAsia="Times New Roman" w:hAnsi="Arial" w:cs="Arial"/>
          <w:lang w:val="es-ES" w:eastAsia="es-ES"/>
        </w:rPr>
        <w:t>información</w:t>
      </w:r>
      <w:r w:rsidRPr="00E317A3">
        <w:rPr>
          <w:rFonts w:ascii="Arial" w:eastAsia="Times New Roman" w:hAnsi="Arial" w:cs="Arial"/>
          <w:lang w:val="es-ES" w:eastAsia="es-ES"/>
        </w:rPr>
        <w:t xml:space="preserve"> pertenece a afiliado o empleador</w:t>
      </w:r>
    </w:p>
    <w:p w14:paraId="1C1AF568" w14:textId="77777777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37480CC" w14:textId="3DCA902F" w:rsidR="0017601A" w:rsidRPr="00E317A3" w:rsidRDefault="00E317A3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 xml:space="preserve">No </w:t>
      </w:r>
      <w:r w:rsidR="0017601A" w:rsidRPr="00E317A3">
        <w:rPr>
          <w:rFonts w:ascii="Arial" w:eastAsia="Times New Roman" w:hAnsi="Arial" w:cs="Arial"/>
          <w:lang w:val="es-ES" w:eastAsia="es-ES"/>
        </w:rPr>
        <w:t xml:space="preserve">es claro cuál es la herramienta alternativa que se autorizará para el </w:t>
      </w:r>
      <w:r w:rsidRPr="00E317A3">
        <w:rPr>
          <w:rFonts w:ascii="Arial" w:eastAsia="Times New Roman" w:hAnsi="Arial" w:cs="Arial"/>
          <w:lang w:val="es-ES" w:eastAsia="es-ES"/>
        </w:rPr>
        <w:t>envío</w:t>
      </w:r>
      <w:r w:rsidR="0017601A" w:rsidRPr="00E317A3">
        <w:rPr>
          <w:rFonts w:ascii="Arial" w:eastAsia="Times New Roman" w:hAnsi="Arial" w:cs="Arial"/>
          <w:lang w:val="es-ES" w:eastAsia="es-ES"/>
        </w:rPr>
        <w:t xml:space="preserve"> de la información, sin esta precisión no se podrá garantizar el plazo exigido</w:t>
      </w:r>
      <w:r w:rsidRPr="00E317A3">
        <w:rPr>
          <w:rFonts w:ascii="Arial" w:eastAsia="Times New Roman" w:hAnsi="Arial" w:cs="Arial"/>
          <w:lang w:val="es-ES" w:eastAsia="es-ES"/>
        </w:rPr>
        <w:t xml:space="preserve"> y generaría el </w:t>
      </w:r>
      <w:r w:rsidR="0017601A" w:rsidRPr="00E317A3">
        <w:rPr>
          <w:rFonts w:ascii="Arial" w:eastAsia="Times New Roman" w:hAnsi="Arial" w:cs="Arial"/>
          <w:lang w:val="es-ES" w:eastAsia="es-ES"/>
        </w:rPr>
        <w:t xml:space="preserve"> riesgo </w:t>
      </w:r>
      <w:r w:rsidRPr="00E317A3">
        <w:rPr>
          <w:rFonts w:ascii="Arial" w:eastAsia="Times New Roman" w:hAnsi="Arial" w:cs="Arial"/>
          <w:lang w:val="es-ES" w:eastAsia="es-ES"/>
        </w:rPr>
        <w:t>de ser acreedor a la imposición de una sanción.</w:t>
      </w:r>
    </w:p>
    <w:p w14:paraId="30956573" w14:textId="77777777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145539F" w14:textId="1F8F3B3C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 xml:space="preserve">Aclara la frase:" </w:t>
      </w:r>
      <w:r w:rsidRPr="00E43B1A">
        <w:rPr>
          <w:rFonts w:ascii="Arial" w:eastAsia="Times New Roman" w:hAnsi="Arial" w:cs="Arial"/>
          <w:i/>
          <w:lang w:val="es-ES" w:eastAsia="es-ES"/>
        </w:rPr>
        <w:t>Firmada por el jefe inmediato de la persona autorizada</w:t>
      </w:r>
      <w:r w:rsidRPr="00E317A3">
        <w:rPr>
          <w:rFonts w:ascii="Arial" w:eastAsia="Times New Roman" w:hAnsi="Arial" w:cs="Arial"/>
          <w:lang w:val="es-ES" w:eastAsia="es-ES"/>
        </w:rPr>
        <w:t xml:space="preserve">" y aclarar si hace alusión a firma digital o electrónica para garantizar la </w:t>
      </w:r>
      <w:r w:rsidR="00E317A3" w:rsidRPr="00E317A3">
        <w:rPr>
          <w:rFonts w:ascii="Arial" w:eastAsia="Times New Roman" w:hAnsi="Arial" w:cs="Arial"/>
          <w:lang w:val="es-ES" w:eastAsia="es-ES"/>
        </w:rPr>
        <w:t>validez</w:t>
      </w:r>
      <w:r w:rsidRPr="00E317A3">
        <w:rPr>
          <w:rFonts w:ascii="Arial" w:eastAsia="Times New Roman" w:hAnsi="Arial" w:cs="Arial"/>
          <w:lang w:val="es-ES" w:eastAsia="es-ES"/>
        </w:rPr>
        <w:t xml:space="preserve"> de la información</w:t>
      </w:r>
    </w:p>
    <w:p w14:paraId="08964432" w14:textId="77777777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E61AB57" w14:textId="58B908E3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 xml:space="preserve">En cuanto a la vigencia  del </w:t>
      </w:r>
      <w:r w:rsidR="00E317A3" w:rsidRPr="00E317A3">
        <w:rPr>
          <w:rFonts w:ascii="Arial" w:eastAsia="Times New Roman" w:hAnsi="Arial" w:cs="Arial"/>
          <w:lang w:val="es-ES" w:eastAsia="es-ES"/>
        </w:rPr>
        <w:t>proyecto de la resolución se solicita  contemplar</w:t>
      </w:r>
      <w:r w:rsidRPr="00E317A3">
        <w:rPr>
          <w:rFonts w:ascii="Arial" w:eastAsia="Times New Roman" w:hAnsi="Arial" w:cs="Arial"/>
          <w:lang w:val="es-ES" w:eastAsia="es-ES"/>
        </w:rPr>
        <w:t xml:space="preserve"> un plazo de 6 meses para su </w:t>
      </w:r>
      <w:r w:rsidR="00E317A3" w:rsidRPr="00E317A3">
        <w:rPr>
          <w:rFonts w:ascii="Arial" w:eastAsia="Times New Roman" w:hAnsi="Arial" w:cs="Arial"/>
          <w:lang w:val="es-ES" w:eastAsia="es-ES"/>
        </w:rPr>
        <w:t>implementación</w:t>
      </w:r>
      <w:r w:rsidRPr="00E317A3">
        <w:rPr>
          <w:rFonts w:ascii="Arial" w:eastAsia="Times New Roman" w:hAnsi="Arial" w:cs="Arial"/>
          <w:lang w:val="es-ES" w:eastAsia="es-ES"/>
        </w:rPr>
        <w:t xml:space="preserve"> con el fin de lograr la homol</w:t>
      </w:r>
      <w:r w:rsidR="00E317A3" w:rsidRPr="00E317A3">
        <w:rPr>
          <w:rFonts w:ascii="Arial" w:eastAsia="Times New Roman" w:hAnsi="Arial" w:cs="Arial"/>
          <w:lang w:val="es-ES" w:eastAsia="es-ES"/>
        </w:rPr>
        <w:t>og</w:t>
      </w:r>
      <w:r w:rsidRPr="00E317A3">
        <w:rPr>
          <w:rFonts w:ascii="Arial" w:eastAsia="Times New Roman" w:hAnsi="Arial" w:cs="Arial"/>
          <w:lang w:val="es-ES" w:eastAsia="es-ES"/>
        </w:rPr>
        <w:t>ación de los tipos de identificación entre las entidades y la UGPP.</w:t>
      </w:r>
    </w:p>
    <w:p w14:paraId="07C2E02C" w14:textId="77777777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8ACBC9E" w14:textId="63795BA6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E317A3">
        <w:rPr>
          <w:rFonts w:ascii="Arial" w:eastAsia="Times New Roman" w:hAnsi="Arial" w:cs="Arial"/>
          <w:b/>
          <w:lang w:val="es-ES" w:eastAsia="es-ES"/>
        </w:rPr>
        <w:lastRenderedPageBreak/>
        <w:t xml:space="preserve">2.1.3 COLMENA SEGUROS </w:t>
      </w:r>
    </w:p>
    <w:p w14:paraId="1400870D" w14:textId="77777777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1BDE9AA" w14:textId="163B911F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>Es un informe adicional al de ubicación y contactos</w:t>
      </w:r>
      <w:r w:rsidR="00E43B1A">
        <w:rPr>
          <w:rFonts w:ascii="Arial" w:eastAsia="Times New Roman" w:hAnsi="Arial" w:cs="Arial"/>
          <w:lang w:val="es-ES" w:eastAsia="es-ES"/>
        </w:rPr>
        <w:t xml:space="preserve"> que se trasmite una vez al año</w:t>
      </w:r>
    </w:p>
    <w:p w14:paraId="5EDDBFE6" w14:textId="77777777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349C5A7" w14:textId="2557474B" w:rsidR="0017601A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E317A3">
        <w:rPr>
          <w:rFonts w:ascii="Arial" w:eastAsia="Times New Roman" w:hAnsi="Arial" w:cs="Arial"/>
          <w:lang w:val="es-ES" w:eastAsia="es-ES"/>
        </w:rPr>
        <w:t>A qué ref</w:t>
      </w:r>
      <w:r w:rsidR="00E43B1A">
        <w:rPr>
          <w:rFonts w:ascii="Arial" w:eastAsia="Times New Roman" w:hAnsi="Arial" w:cs="Arial"/>
          <w:lang w:val="es-ES" w:eastAsia="es-ES"/>
        </w:rPr>
        <w:t>ieren con bancos de información</w:t>
      </w:r>
      <w:r w:rsidRPr="00E317A3">
        <w:rPr>
          <w:rFonts w:ascii="Arial" w:eastAsia="Times New Roman" w:hAnsi="Arial" w:cs="Arial"/>
          <w:lang w:val="es-ES" w:eastAsia="es-ES"/>
        </w:rPr>
        <w:t>; ¿En caso que solicitarán información a Colmena Seguros se debería tener en cuenta la información de ubicación y contacto de los afiliados a ARL y los asegurados en el ramo de seguros de personas?</w:t>
      </w:r>
    </w:p>
    <w:p w14:paraId="5F275EC2" w14:textId="77777777" w:rsidR="00697EF9" w:rsidRDefault="00697EF9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046B1804" w14:textId="56C22B29" w:rsidR="00697EF9" w:rsidRPr="00697EF9" w:rsidRDefault="00697EF9" w:rsidP="0080289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2.1.4 </w:t>
      </w:r>
      <w:r w:rsidRPr="00697EF9">
        <w:rPr>
          <w:rFonts w:ascii="Arial" w:eastAsia="Times New Roman" w:hAnsi="Arial" w:cs="Arial"/>
          <w:b/>
          <w:lang w:val="es-ES" w:eastAsia="es-ES"/>
        </w:rPr>
        <w:t>EMPRESA DE TELECOMUNICACIONES CLARO</w:t>
      </w:r>
    </w:p>
    <w:p w14:paraId="2462E9BB" w14:textId="45B18F2A" w:rsidR="00697EF9" w:rsidRPr="001E2521" w:rsidRDefault="00697EF9" w:rsidP="00697EF9">
      <w:pPr>
        <w:spacing w:before="100" w:beforeAutospacing="1" w:after="100" w:afterAutospacing="1" w:line="240" w:lineRule="auto"/>
        <w:jc w:val="both"/>
        <w:rPr>
          <w:rFonts w:ascii="Arial" w:hAnsi="Arial" w:cs="Arial"/>
          <w:lang w:val="es-ES"/>
        </w:rPr>
      </w:pPr>
      <w:r w:rsidRPr="001E2521">
        <w:rPr>
          <w:rFonts w:ascii="Arial" w:hAnsi="Arial" w:cs="Arial"/>
          <w:lang w:val="es-ES"/>
        </w:rPr>
        <w:t>La UGPP no es competente para solicitar la información indicada en el proyecto de resolución de Operadores de Telecomunicaciones  privados</w:t>
      </w:r>
      <w:r w:rsidR="001E2521" w:rsidRPr="001E2521">
        <w:rPr>
          <w:rFonts w:ascii="Arial" w:hAnsi="Arial" w:cs="Arial"/>
          <w:lang w:val="es-ES"/>
        </w:rPr>
        <w:t>, teniendo en cuenta que las norma solo la autorizó para solicitarla a los operadores de información y/o base de datos  y no a la fuente de información como es esta empresa.</w:t>
      </w:r>
    </w:p>
    <w:p w14:paraId="4F0AF078" w14:textId="77777777" w:rsidR="0017601A" w:rsidRPr="00E317A3" w:rsidRDefault="0017601A" w:rsidP="0080289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619634A" w14:textId="0C64AD7C" w:rsidR="00802896" w:rsidRDefault="00E317A3" w:rsidP="0080289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2.2.</w:t>
      </w:r>
      <w:r w:rsidR="00802896" w:rsidRPr="00E317A3">
        <w:rPr>
          <w:rFonts w:ascii="Arial" w:eastAsia="Times New Roman" w:hAnsi="Arial" w:cs="Arial"/>
          <w:b/>
          <w:lang w:val="es-ES" w:eastAsia="es-ES"/>
        </w:rPr>
        <w:t xml:space="preserve">  ANÁLISIS </w:t>
      </w:r>
      <w:r w:rsidR="00515781">
        <w:rPr>
          <w:rFonts w:ascii="Arial" w:eastAsia="Times New Roman" w:hAnsi="Arial" w:cs="Arial"/>
          <w:b/>
          <w:lang w:val="es-ES" w:eastAsia="es-ES"/>
        </w:rPr>
        <w:t xml:space="preserve">INTEGRAL </w:t>
      </w:r>
      <w:r w:rsidR="00802896" w:rsidRPr="00E317A3">
        <w:rPr>
          <w:rFonts w:ascii="Arial" w:eastAsia="Times New Roman" w:hAnsi="Arial" w:cs="Arial"/>
          <w:b/>
          <w:lang w:val="es-ES" w:eastAsia="es-ES"/>
        </w:rPr>
        <w:t>DE LA ENTIDAD</w:t>
      </w:r>
    </w:p>
    <w:p w14:paraId="3C399E62" w14:textId="77777777" w:rsidR="00697EF9" w:rsidRDefault="00697EF9" w:rsidP="0080289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097DE15C" w14:textId="77777777" w:rsidR="00697EF9" w:rsidRDefault="00697EF9" w:rsidP="00802896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14:paraId="2E2D79E9" w14:textId="77777777" w:rsidR="00E43B1A" w:rsidRDefault="00E43B1A" w:rsidP="00E43B1A">
      <w:p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val="es-ES"/>
        </w:rPr>
      </w:pPr>
      <w:r w:rsidRPr="00E43B1A">
        <w:rPr>
          <w:rFonts w:ascii="Arial" w:hAnsi="Arial" w:cs="Arial"/>
          <w:lang w:val="es-ES"/>
        </w:rPr>
        <w:t>La competencia de la Unidad para solicitar información relevante para el cumplimiento de las funciones otorgadas en el artículo 156 de la Ley 1151 de 2007,  los artículos 178 a 179 de la Ley 1607 de 2012, con las modificaciones introducidas en los artículos 314 de la Ley 1819 de 2016 y 103 de la Ley 1943 de 2018, en especial para ejercer control  a la evasión de los aportes parafiscales del sistema de la protección social,  fue otorgada mediante las siguientes disposiciones  normativas.</w:t>
      </w:r>
    </w:p>
    <w:p w14:paraId="58E9CD1A" w14:textId="77777777" w:rsidR="00E43B1A" w:rsidRPr="00E43B1A" w:rsidRDefault="00E43B1A" w:rsidP="00E43B1A">
      <w:p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val="es-ES"/>
        </w:rPr>
      </w:pPr>
    </w:p>
    <w:p w14:paraId="21AAAD1F" w14:textId="77777777" w:rsidR="00E43B1A" w:rsidRPr="00E43B1A" w:rsidRDefault="00E43B1A" w:rsidP="00E43B1A">
      <w:pPr>
        <w:numPr>
          <w:ilvl w:val="0"/>
          <w:numId w:val="8"/>
        </w:num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43B1A">
        <w:rPr>
          <w:rFonts w:ascii="Arial" w:hAnsi="Arial" w:cs="Arial"/>
          <w:b/>
          <w:sz w:val="20"/>
          <w:szCs w:val="20"/>
          <w:lang w:val="es-ES"/>
        </w:rPr>
        <w:t>Artículo 29 de la Ley 1393 de 2010,  cuyo texto reza:   “</w:t>
      </w:r>
      <w:r w:rsidRPr="00E43B1A">
        <w:rPr>
          <w:rFonts w:ascii="Arial" w:hAnsi="Arial" w:cs="Arial"/>
          <w:i/>
          <w:iCs/>
          <w:sz w:val="20"/>
          <w:szCs w:val="20"/>
        </w:rPr>
        <w:t>Para efecto del cumplimiento de las funciones a cargo de la UGPP, en cuanto al control a la evasión y a la elusión de los aportes parafiscales al Sistema de Protección Social, los operadores públicos y privados de bancos de información y/o bases de datos reportarán, sin ningún costo, la información relevante para tal efecto, en los términos y condiciones que defina el Gobierno nacional”</w:t>
      </w:r>
      <w:r w:rsidRPr="00E43B1A">
        <w:rPr>
          <w:rFonts w:ascii="Arial" w:hAnsi="Arial" w:cs="Arial"/>
          <w:sz w:val="20"/>
          <w:szCs w:val="20"/>
        </w:rPr>
        <w:t>.</w:t>
      </w:r>
    </w:p>
    <w:p w14:paraId="2BC0510F" w14:textId="77777777" w:rsidR="00E43B1A" w:rsidRPr="00E43B1A" w:rsidRDefault="00E43B1A" w:rsidP="00E43B1A">
      <w:p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0BF27B47" w14:textId="77777777" w:rsidR="00E43B1A" w:rsidRPr="00E43B1A" w:rsidRDefault="00E43B1A" w:rsidP="00E43B1A">
      <w:pPr>
        <w:numPr>
          <w:ilvl w:val="0"/>
          <w:numId w:val="8"/>
        </w:num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515781">
        <w:rPr>
          <w:rFonts w:ascii="Arial" w:hAnsi="Arial" w:cs="Arial"/>
          <w:sz w:val="20"/>
          <w:szCs w:val="20"/>
          <w:lang w:val="es-ES"/>
        </w:rPr>
        <w:t>Numeral </w:t>
      </w:r>
      <w:hyperlink r:id="rId7" w:anchor="1.l.b.n.9" w:history="1">
        <w:r w:rsidRPr="00515781">
          <w:rPr>
            <w:rStyle w:val="Hipervnculo"/>
            <w:rFonts w:ascii="Arial" w:hAnsi="Arial" w:cs="Arial"/>
            <w:color w:val="auto"/>
            <w:sz w:val="20"/>
            <w:szCs w:val="20"/>
            <w:lang w:val="es-ES"/>
          </w:rPr>
          <w:t>9</w:t>
        </w:r>
      </w:hyperlink>
      <w:r w:rsidRPr="00515781">
        <w:rPr>
          <w:rFonts w:ascii="Arial" w:hAnsi="Arial" w:cs="Arial"/>
          <w:sz w:val="20"/>
          <w:szCs w:val="20"/>
          <w:lang w:val="es-ES"/>
        </w:rPr>
        <w:t xml:space="preserve"> del </w:t>
      </w:r>
      <w:r w:rsidRPr="00E43B1A">
        <w:rPr>
          <w:rFonts w:ascii="Arial" w:hAnsi="Arial" w:cs="Arial"/>
          <w:sz w:val="20"/>
          <w:szCs w:val="20"/>
          <w:lang w:val="es-ES"/>
        </w:rPr>
        <w:t>literal B) del artículo 1° del Decreto-ley 169 de 2008, señala que para ejercer las funciones</w:t>
      </w:r>
      <w:r w:rsidRPr="00E43B1A">
        <w:rPr>
          <w:rFonts w:ascii="Arial" w:hAnsi="Arial" w:cs="Arial"/>
          <w:sz w:val="20"/>
          <w:szCs w:val="20"/>
        </w:rPr>
        <w:t xml:space="preserve"> de seguimiento, colaboración y determinación de la adecuada, completa y oportuna liquidación y pago de las contribuciones parafiscales de la Protección Social la Unidad Administrativa Especial de Gestión Pensional y Contribuciones Parafiscales de la Protección Social (UGPP) podrá adelantar, entre otras, las siguientes acciones:   </w:t>
      </w:r>
      <w:r w:rsidRPr="00E43B1A">
        <w:rPr>
          <w:rFonts w:ascii="Arial" w:hAnsi="Arial" w:cs="Arial"/>
          <w:i/>
          <w:iCs/>
          <w:sz w:val="20"/>
          <w:szCs w:val="20"/>
        </w:rPr>
        <w:t xml:space="preserve">“Efectuar cruces con la información de las autoridades tributarias, las instituciones financieras </w:t>
      </w:r>
      <w:r w:rsidRPr="00E43B1A">
        <w:rPr>
          <w:rFonts w:ascii="Arial" w:hAnsi="Arial" w:cs="Arial"/>
          <w:b/>
          <w:i/>
          <w:iCs/>
          <w:sz w:val="20"/>
          <w:szCs w:val="20"/>
        </w:rPr>
        <w:t>y otras entidades que administren información pertinente</w:t>
      </w:r>
      <w:r w:rsidRPr="00E43B1A">
        <w:rPr>
          <w:rFonts w:ascii="Arial" w:hAnsi="Arial" w:cs="Arial"/>
          <w:i/>
          <w:iCs/>
          <w:sz w:val="20"/>
          <w:szCs w:val="20"/>
        </w:rPr>
        <w:t xml:space="preserve"> para la verificación de la adecuada, completa y oportuna liquidación y pago de las contribuciones parafiscales de la protección social. Esta información será reservada y solo podrá utilizarse para los fines previstos en la presente ley</w:t>
      </w:r>
      <w:r w:rsidRPr="00E43B1A">
        <w:rPr>
          <w:rFonts w:ascii="Arial" w:hAnsi="Arial" w:cs="Arial"/>
          <w:i/>
          <w:iCs/>
        </w:rPr>
        <w:t xml:space="preserve">”;   </w:t>
      </w:r>
    </w:p>
    <w:p w14:paraId="70700990" w14:textId="77777777" w:rsidR="00E43B1A" w:rsidRPr="00E43B1A" w:rsidRDefault="00E43B1A" w:rsidP="00E43B1A">
      <w:p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152BD10D" w14:textId="706351F8" w:rsidR="00E43B1A" w:rsidRPr="00E43B1A" w:rsidRDefault="00E43B1A" w:rsidP="00E43B1A">
      <w:pPr>
        <w:numPr>
          <w:ilvl w:val="0"/>
          <w:numId w:val="8"/>
        </w:num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E43B1A">
        <w:rPr>
          <w:rFonts w:ascii="Arial" w:hAnsi="Arial" w:cs="Arial"/>
        </w:rPr>
        <w:t>A</w:t>
      </w:r>
      <w:proofErr w:type="spellStart"/>
      <w:r w:rsidR="00D32424" w:rsidRPr="00E43B1A">
        <w:rPr>
          <w:rFonts w:ascii="Arial" w:hAnsi="Arial" w:cs="Arial"/>
          <w:lang w:val="es-ES"/>
        </w:rPr>
        <w:t>rtículo</w:t>
      </w:r>
      <w:proofErr w:type="spellEnd"/>
      <w:r w:rsidRPr="00E43B1A">
        <w:rPr>
          <w:rFonts w:ascii="Arial" w:hAnsi="Arial" w:cs="Arial"/>
          <w:lang w:val="es-ES"/>
        </w:rPr>
        <w:t xml:space="preserve"> 1º del Decreto 2438 del 27 de diciembre de 2018, adicionó el Título 7º  a la Parte 12 del Libro 2º  del Decreto 1068 de 2015, señaló que t</w:t>
      </w:r>
      <w:r w:rsidRPr="00E43B1A">
        <w:rPr>
          <w:rFonts w:ascii="Arial" w:hAnsi="Arial" w:cs="Arial"/>
        </w:rPr>
        <w:t>todos los operadores públicos y privados de bancos de información y/o bases de datos deben reportar la información relevante y actualizada que requiera la Unidad Administrativa Especial de Gestión Pensional y Contribuciones Parafiscales de la Protección Social (UGPP), relativa a la ubicación de los obligados a efectuar los aportes, ingresos, pagos, contratos, registro de bienes, movimientos financieros y demás información necesaria requerida por la Unidad.</w:t>
      </w:r>
    </w:p>
    <w:p w14:paraId="3FBD3041" w14:textId="77777777" w:rsidR="00697EF9" w:rsidRPr="00E43B1A" w:rsidRDefault="00697EF9" w:rsidP="00697EF9">
      <w:p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14:paraId="3E250CAE" w14:textId="77777777" w:rsidR="00E43B1A" w:rsidRDefault="00E43B1A" w:rsidP="00697EF9">
      <w:p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val="es-ES"/>
        </w:rPr>
      </w:pPr>
    </w:p>
    <w:p w14:paraId="2E644D3F" w14:textId="5D43ACB1" w:rsidR="00E43B1A" w:rsidRDefault="00E43B1A" w:rsidP="00697EF9">
      <w:p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consiguiente, n</w:t>
      </w:r>
      <w:r w:rsidRPr="00E43B1A">
        <w:rPr>
          <w:rFonts w:ascii="Arial" w:hAnsi="Arial" w:cs="Arial"/>
          <w:lang w:val="es-ES"/>
        </w:rPr>
        <w:t>o  resultan vál</w:t>
      </w:r>
      <w:r>
        <w:rPr>
          <w:rFonts w:ascii="Arial" w:hAnsi="Arial" w:cs="Arial"/>
          <w:lang w:val="es-ES"/>
        </w:rPr>
        <w:t>idos los  argumentos que consideran</w:t>
      </w:r>
      <w:r w:rsidRPr="00E43B1A">
        <w:rPr>
          <w:rFonts w:ascii="Arial" w:hAnsi="Arial" w:cs="Arial"/>
          <w:lang w:val="es-ES"/>
        </w:rPr>
        <w:t xml:space="preserve"> que  el contenido señalado en  el artículo 10 de la Ley 1581 de 2012, en especial el  numeral primero, no le es aplicable a la Unidad, por cuanto  el numeral 9 del artículo 1 del Decreto 169 de 2008,    autoriza a la Unidad para </w:t>
      </w:r>
      <w:r w:rsidR="00D32424">
        <w:rPr>
          <w:rFonts w:ascii="Arial" w:hAnsi="Arial" w:cs="Arial"/>
          <w:lang w:val="es-ES"/>
        </w:rPr>
        <w:t xml:space="preserve">realizar cruces de información con distintas entidades que administren información pertinente para el adecuado ejercicio de las funciones, además se está </w:t>
      </w:r>
      <w:r w:rsidRPr="00E43B1A">
        <w:rPr>
          <w:rFonts w:ascii="Arial" w:hAnsi="Arial" w:cs="Arial"/>
          <w:lang w:val="es-ES"/>
        </w:rPr>
        <w:t>desconociendo lo señalado por el legislador del año 2010,  quien mediante el artículo 29 de la Ley 13</w:t>
      </w:r>
      <w:r>
        <w:rPr>
          <w:rFonts w:ascii="Arial" w:hAnsi="Arial" w:cs="Arial"/>
          <w:lang w:val="es-ES"/>
        </w:rPr>
        <w:t>93, autorizó</w:t>
      </w:r>
      <w:r w:rsidRPr="00E43B1A">
        <w:rPr>
          <w:rFonts w:ascii="Arial" w:hAnsi="Arial" w:cs="Arial"/>
          <w:lang w:val="es-ES"/>
        </w:rPr>
        <w:t xml:space="preserve"> a esa Entidad a solicitar la todos los operadores de información o bases de datos, entendidos como todos aquellos que reciben datos personales sobre el  titular de la información, lo que significa que en </w:t>
      </w:r>
      <w:r>
        <w:rPr>
          <w:rFonts w:ascii="Arial" w:hAnsi="Arial" w:cs="Arial"/>
          <w:lang w:val="es-ES"/>
        </w:rPr>
        <w:t>el</w:t>
      </w:r>
      <w:r w:rsidRPr="00E43B1A">
        <w:rPr>
          <w:rFonts w:ascii="Arial" w:hAnsi="Arial" w:cs="Arial"/>
          <w:lang w:val="es-ES"/>
        </w:rPr>
        <w:t xml:space="preserve"> caso </w:t>
      </w:r>
      <w:r>
        <w:rPr>
          <w:rFonts w:ascii="Arial" w:hAnsi="Arial" w:cs="Arial"/>
          <w:lang w:val="es-ES"/>
        </w:rPr>
        <w:t xml:space="preserve">de las empresas de telecomunicaciones </w:t>
      </w:r>
      <w:r w:rsidR="001E2521">
        <w:rPr>
          <w:rFonts w:ascii="Arial" w:hAnsi="Arial" w:cs="Arial"/>
          <w:lang w:val="es-ES"/>
        </w:rPr>
        <w:t xml:space="preserve">las mismas </w:t>
      </w:r>
      <w:r w:rsidRPr="00E43B1A">
        <w:rPr>
          <w:rFonts w:ascii="Arial" w:hAnsi="Arial" w:cs="Arial"/>
          <w:lang w:val="es-ES"/>
        </w:rPr>
        <w:t>adquiere</w:t>
      </w:r>
      <w:r>
        <w:rPr>
          <w:rFonts w:ascii="Arial" w:hAnsi="Arial" w:cs="Arial"/>
          <w:lang w:val="es-ES"/>
        </w:rPr>
        <w:t>n</w:t>
      </w:r>
      <w:r w:rsidRPr="00E43B1A">
        <w:rPr>
          <w:rFonts w:ascii="Arial" w:hAnsi="Arial" w:cs="Arial"/>
          <w:lang w:val="es-ES"/>
        </w:rPr>
        <w:t xml:space="preserve"> la doble condición de fuente y operador de la información por tener el acceso y administración de la información direct</w:t>
      </w:r>
      <w:r>
        <w:rPr>
          <w:rFonts w:ascii="Arial" w:hAnsi="Arial" w:cs="Arial"/>
          <w:lang w:val="es-ES"/>
        </w:rPr>
        <w:t>a del titular de la información, lo cual los obliga a sum</w:t>
      </w:r>
      <w:r w:rsidR="001E2521">
        <w:rPr>
          <w:rFonts w:ascii="Arial" w:hAnsi="Arial" w:cs="Arial"/>
          <w:lang w:val="es-ES"/>
        </w:rPr>
        <w:t>inistrar la información solicitada por esta Unidad.</w:t>
      </w:r>
    </w:p>
    <w:p w14:paraId="400DC4CD" w14:textId="77777777" w:rsidR="00E43B1A" w:rsidRDefault="00E43B1A" w:rsidP="00697EF9">
      <w:p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val="es-ES"/>
        </w:rPr>
      </w:pPr>
    </w:p>
    <w:p w14:paraId="57F10EF2" w14:textId="5BEBFB4C" w:rsidR="00697EF9" w:rsidRDefault="001E2521" w:rsidP="00697EF9">
      <w:p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otra parte, </w:t>
      </w:r>
      <w:r w:rsidR="00697EF9">
        <w:rPr>
          <w:rFonts w:ascii="Arial" w:hAnsi="Arial" w:cs="Arial"/>
          <w:lang w:val="es-ES"/>
        </w:rPr>
        <w:t>no sobra resaltar que la Unidad garantizará que a nivel técnico, administrativo y humano se preserve la confidencialidad e integralidad de los datos personales suministrados por las personas naturales y jurídicas del orden público o privado q quien le solicite dicha información, dando estricta aplicación a lo dispuesto en el artículo 15 de la Constitución Política, la Ley Estatutaria 1581 de 2012, el Capítulo 25 del Decreto 1074 de 2015 y demás normas que lo reglamenten o modifiquen, suscribiendo los protocolos de seguridad que sean necesarios.</w:t>
      </w:r>
    </w:p>
    <w:p w14:paraId="3FD3744B" w14:textId="3D0E6ED0" w:rsidR="00EA2124" w:rsidRPr="00E317A3" w:rsidRDefault="00697EF9" w:rsidP="00E43B1A">
      <w:pPr>
        <w:tabs>
          <w:tab w:val="left" w:pos="5693"/>
        </w:tabs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 Narrow" w:hAnsi="Arial Narrow" w:cs="Arial"/>
          <w:b/>
          <w:lang w:val="es-ES"/>
        </w:rPr>
        <w:t xml:space="preserve"> </w:t>
      </w:r>
    </w:p>
    <w:p w14:paraId="7CFE7AA9" w14:textId="56F18967" w:rsidR="001E2521" w:rsidRDefault="00697EF9" w:rsidP="00F26CA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Igualmente, s</w:t>
      </w:r>
      <w:r w:rsidR="00E317A3">
        <w:rPr>
          <w:rFonts w:ascii="Arial" w:eastAsia="Times New Roman" w:hAnsi="Arial" w:cs="Arial"/>
          <w:lang w:val="es-ES" w:eastAsia="es-ES"/>
        </w:rPr>
        <w:t>e</w:t>
      </w:r>
      <w:r w:rsidR="00E317A3" w:rsidRPr="00E317A3">
        <w:rPr>
          <w:rFonts w:ascii="Arial" w:eastAsia="Times New Roman" w:hAnsi="Arial" w:cs="Arial"/>
          <w:lang w:val="es-ES" w:eastAsia="es-ES"/>
        </w:rPr>
        <w:t xml:space="preserve">gún lo </w:t>
      </w:r>
      <w:r>
        <w:rPr>
          <w:rFonts w:ascii="Arial" w:eastAsia="Times New Roman" w:hAnsi="Arial" w:cs="Arial"/>
          <w:lang w:val="es-ES" w:eastAsia="es-ES"/>
        </w:rPr>
        <w:t>manifestado</w:t>
      </w:r>
      <w:r w:rsidR="00E317A3" w:rsidRPr="00E317A3">
        <w:rPr>
          <w:rFonts w:ascii="Arial" w:eastAsia="Times New Roman" w:hAnsi="Arial" w:cs="Arial"/>
          <w:lang w:val="es-ES" w:eastAsia="es-ES"/>
        </w:rPr>
        <w:t xml:space="preserve"> por la </w:t>
      </w:r>
      <w:r w:rsidR="00E317A3">
        <w:rPr>
          <w:rFonts w:ascii="Arial" w:eastAsia="Times New Roman" w:hAnsi="Arial" w:cs="Arial"/>
          <w:lang w:val="es-ES" w:eastAsia="es-ES"/>
        </w:rPr>
        <w:t>Superintendencia de Industria y Comercio</w:t>
      </w:r>
      <w:r>
        <w:rPr>
          <w:rFonts w:ascii="Arial" w:eastAsia="Times New Roman" w:hAnsi="Arial" w:cs="Arial"/>
          <w:lang w:val="es-ES" w:eastAsia="es-ES"/>
        </w:rPr>
        <w:t xml:space="preserve"> y la Dirección de Impuestos y Aduanas Nacionales-DIAN, </w:t>
      </w:r>
      <w:r w:rsidR="00E317A3" w:rsidRPr="00E317A3">
        <w:rPr>
          <w:rFonts w:ascii="Arial" w:eastAsia="Times New Roman" w:hAnsi="Arial" w:cs="Arial"/>
          <w:lang w:val="es-ES" w:eastAsia="es-ES"/>
        </w:rPr>
        <w:t xml:space="preserve"> la</w:t>
      </w:r>
      <w:r w:rsidR="001E2521">
        <w:rPr>
          <w:rFonts w:ascii="Arial" w:eastAsia="Times New Roman" w:hAnsi="Arial" w:cs="Arial"/>
          <w:lang w:val="es-ES" w:eastAsia="es-ES"/>
        </w:rPr>
        <w:t xml:space="preserve"> información </w:t>
      </w:r>
      <w:r w:rsidR="00E317A3">
        <w:rPr>
          <w:rFonts w:ascii="Arial" w:eastAsia="Times New Roman" w:hAnsi="Arial" w:cs="Arial"/>
          <w:lang w:val="es-ES" w:eastAsia="es-ES"/>
        </w:rPr>
        <w:t xml:space="preserve">de la que </w:t>
      </w:r>
      <w:r w:rsidR="001E2521">
        <w:rPr>
          <w:rFonts w:ascii="Arial" w:eastAsia="Times New Roman" w:hAnsi="Arial" w:cs="Arial"/>
          <w:lang w:val="es-ES" w:eastAsia="es-ES"/>
        </w:rPr>
        <w:t xml:space="preserve">ella dispone de los operadores y/o fuentes de información </w:t>
      </w:r>
      <w:r>
        <w:rPr>
          <w:rFonts w:ascii="Arial" w:eastAsia="Times New Roman" w:hAnsi="Arial" w:cs="Arial"/>
          <w:lang w:val="es-ES" w:eastAsia="es-ES"/>
        </w:rPr>
        <w:t>no es la misma solicitada por la UGPP.</w:t>
      </w:r>
      <w:r w:rsidR="001E2521">
        <w:rPr>
          <w:rFonts w:ascii="Arial" w:eastAsia="Times New Roman" w:hAnsi="Arial" w:cs="Arial"/>
          <w:lang w:val="es-ES" w:eastAsia="es-ES"/>
        </w:rPr>
        <w:t xml:space="preserve">, por lo que la Unidad no </w:t>
      </w:r>
      <w:r w:rsidR="00D32424">
        <w:rPr>
          <w:rFonts w:ascii="Arial" w:eastAsia="Times New Roman" w:hAnsi="Arial" w:cs="Arial"/>
          <w:lang w:val="es-ES" w:eastAsia="es-ES"/>
        </w:rPr>
        <w:t>está</w:t>
      </w:r>
      <w:bookmarkStart w:id="0" w:name="_GoBack"/>
      <w:bookmarkEnd w:id="0"/>
      <w:r w:rsidR="001E2521">
        <w:rPr>
          <w:rFonts w:ascii="Arial" w:eastAsia="Times New Roman" w:hAnsi="Arial" w:cs="Arial"/>
          <w:lang w:val="es-ES" w:eastAsia="es-ES"/>
        </w:rPr>
        <w:t xml:space="preserve"> solicitando la misma información que poseen otras autoridades.</w:t>
      </w:r>
    </w:p>
    <w:p w14:paraId="319AF7D5" w14:textId="77777777" w:rsidR="001E2521" w:rsidRDefault="001E2521" w:rsidP="00F26CA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39F3375" w14:textId="799BFD07" w:rsidR="00E317A3" w:rsidRDefault="001E2521" w:rsidP="00F26CA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Es importante señalar además  que la </w:t>
      </w:r>
      <w:r w:rsidR="00E317A3" w:rsidRPr="00E317A3">
        <w:rPr>
          <w:rFonts w:ascii="Arial" w:eastAsia="Times New Roman" w:hAnsi="Arial" w:cs="Arial"/>
          <w:lang w:val="es-ES" w:eastAsia="es-ES"/>
        </w:rPr>
        <w:t xml:space="preserve">información solicitada </w:t>
      </w:r>
      <w:r w:rsidR="00E317A3">
        <w:rPr>
          <w:rFonts w:ascii="Arial" w:eastAsia="Times New Roman" w:hAnsi="Arial" w:cs="Arial"/>
          <w:lang w:val="es-ES" w:eastAsia="es-ES"/>
        </w:rPr>
        <w:t xml:space="preserve"> </w:t>
      </w:r>
      <w:r w:rsidR="00E317A3" w:rsidRPr="00E317A3">
        <w:rPr>
          <w:rFonts w:ascii="Arial" w:eastAsia="Times New Roman" w:hAnsi="Arial" w:cs="Arial"/>
          <w:lang w:val="es-ES" w:eastAsia="es-ES"/>
        </w:rPr>
        <w:t>se presume cierta, sin perju</w:t>
      </w:r>
      <w:r w:rsidR="006B7F00">
        <w:rPr>
          <w:rFonts w:ascii="Arial" w:eastAsia="Times New Roman" w:hAnsi="Arial" w:cs="Arial"/>
          <w:lang w:val="es-ES" w:eastAsia="es-ES"/>
        </w:rPr>
        <w:t>icio</w:t>
      </w:r>
      <w:r w:rsidR="00E317A3" w:rsidRPr="00E317A3">
        <w:rPr>
          <w:rFonts w:ascii="Arial" w:eastAsia="Times New Roman" w:hAnsi="Arial" w:cs="Arial"/>
          <w:lang w:val="es-ES" w:eastAsia="es-ES"/>
        </w:rPr>
        <w:t xml:space="preserve"> que </w:t>
      </w:r>
      <w:r w:rsidR="006B7F00">
        <w:rPr>
          <w:rFonts w:ascii="Arial" w:eastAsia="Times New Roman" w:hAnsi="Arial" w:cs="Arial"/>
          <w:lang w:val="es-ES" w:eastAsia="es-ES"/>
        </w:rPr>
        <w:t xml:space="preserve"> la Unidad disponga su validación por</w:t>
      </w:r>
      <w:r w:rsidR="00E317A3" w:rsidRPr="00E317A3">
        <w:rPr>
          <w:rFonts w:ascii="Arial" w:eastAsia="Times New Roman" w:hAnsi="Arial" w:cs="Arial"/>
          <w:lang w:val="es-ES" w:eastAsia="es-ES"/>
        </w:rPr>
        <w:t xml:space="preserve"> otro medio.</w:t>
      </w:r>
    </w:p>
    <w:p w14:paraId="305A24F9" w14:textId="77777777" w:rsidR="00E317A3" w:rsidRDefault="00E317A3" w:rsidP="00F26CA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9CDA154" w14:textId="48315C8D" w:rsidR="00E317A3" w:rsidRPr="001734BE" w:rsidRDefault="001E2521" w:rsidP="00F26CA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Además para que la </w:t>
      </w:r>
      <w:r w:rsidR="00E317A3" w:rsidRPr="001734BE">
        <w:rPr>
          <w:rFonts w:ascii="Arial" w:eastAsia="Times New Roman" w:hAnsi="Arial" w:cs="Arial"/>
          <w:lang w:val="es-ES" w:eastAsia="es-ES"/>
        </w:rPr>
        <w:t>UGPP pueda consolidar</w:t>
      </w:r>
      <w:r>
        <w:rPr>
          <w:rFonts w:ascii="Arial" w:eastAsia="Times New Roman" w:hAnsi="Arial" w:cs="Arial"/>
          <w:lang w:val="es-ES" w:eastAsia="es-ES"/>
        </w:rPr>
        <w:t xml:space="preserve"> la información </w:t>
      </w:r>
      <w:r w:rsidR="00515781">
        <w:rPr>
          <w:rFonts w:ascii="Arial" w:eastAsia="Times New Roman" w:hAnsi="Arial" w:cs="Arial"/>
          <w:lang w:val="es-ES" w:eastAsia="es-ES"/>
        </w:rPr>
        <w:t>solicitada</w:t>
      </w:r>
      <w:r>
        <w:rPr>
          <w:rFonts w:ascii="Arial" w:eastAsia="Times New Roman" w:hAnsi="Arial" w:cs="Arial"/>
          <w:lang w:val="es-ES" w:eastAsia="es-ES"/>
        </w:rPr>
        <w:t>, es necesario que la misma sea presentad</w:t>
      </w:r>
      <w:r w:rsidR="00697EF9">
        <w:rPr>
          <w:rFonts w:ascii="Arial" w:eastAsia="Times New Roman" w:hAnsi="Arial" w:cs="Arial"/>
          <w:lang w:val="es-ES" w:eastAsia="es-ES"/>
        </w:rPr>
        <w:t xml:space="preserve">a, </w:t>
      </w:r>
      <w:r>
        <w:rPr>
          <w:rFonts w:ascii="Arial" w:eastAsia="Times New Roman" w:hAnsi="Arial" w:cs="Arial"/>
          <w:lang w:val="es-ES" w:eastAsia="es-ES"/>
        </w:rPr>
        <w:t xml:space="preserve">en forma completa, </w:t>
      </w:r>
      <w:r w:rsidR="00E317A3" w:rsidRPr="001734BE">
        <w:rPr>
          <w:rFonts w:ascii="Arial" w:eastAsia="Times New Roman" w:hAnsi="Arial" w:cs="Arial"/>
          <w:lang w:val="es-ES" w:eastAsia="es-ES"/>
        </w:rPr>
        <w:t xml:space="preserve">exacta </w:t>
      </w:r>
      <w:proofErr w:type="spellStart"/>
      <w:r w:rsidR="00E317A3" w:rsidRPr="001734BE">
        <w:rPr>
          <w:rFonts w:ascii="Arial" w:eastAsia="Times New Roman" w:hAnsi="Arial" w:cs="Arial"/>
          <w:lang w:val="es-ES" w:eastAsia="es-ES"/>
        </w:rPr>
        <w:t>o</w:t>
      </w:r>
      <w:proofErr w:type="spellEnd"/>
      <w:r w:rsidR="00E317A3" w:rsidRPr="001734BE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 xml:space="preserve">oportuna, de lo contrario </w:t>
      </w:r>
      <w:r w:rsidR="00E317A3" w:rsidRPr="001734BE">
        <w:rPr>
          <w:rFonts w:ascii="Arial" w:eastAsia="Times New Roman" w:hAnsi="Arial" w:cs="Arial"/>
          <w:lang w:val="es-ES" w:eastAsia="es-ES"/>
        </w:rPr>
        <w:t xml:space="preserve"> no permitirá </w:t>
      </w:r>
      <w:r w:rsidR="00E43B1A">
        <w:rPr>
          <w:rFonts w:ascii="Arial" w:eastAsia="Times New Roman" w:hAnsi="Arial" w:cs="Arial"/>
          <w:lang w:val="es-ES" w:eastAsia="es-ES"/>
        </w:rPr>
        <w:t xml:space="preserve">a </w:t>
      </w:r>
      <w:r>
        <w:rPr>
          <w:rFonts w:ascii="Arial" w:eastAsia="Times New Roman" w:hAnsi="Arial" w:cs="Arial"/>
          <w:lang w:val="es-ES" w:eastAsia="es-ES"/>
        </w:rPr>
        <w:t>la Unidad adelante</w:t>
      </w:r>
      <w:r w:rsidR="00E317A3" w:rsidRPr="001734BE">
        <w:rPr>
          <w:rFonts w:ascii="Arial" w:eastAsia="Times New Roman" w:hAnsi="Arial" w:cs="Arial"/>
          <w:lang w:val="es-ES" w:eastAsia="es-ES"/>
        </w:rPr>
        <w:t xml:space="preserve"> las tareas de seguimiento, colaboración y determinación de la adecuada, completa y </w:t>
      </w:r>
      <w:r w:rsidR="001734BE" w:rsidRPr="001734BE">
        <w:rPr>
          <w:rFonts w:ascii="Arial" w:eastAsia="Times New Roman" w:hAnsi="Arial" w:cs="Arial"/>
          <w:lang w:val="es-ES" w:eastAsia="es-ES"/>
        </w:rPr>
        <w:t>oportuna</w:t>
      </w:r>
      <w:r w:rsidR="00E317A3" w:rsidRPr="001734BE">
        <w:rPr>
          <w:rFonts w:ascii="Arial" w:eastAsia="Times New Roman" w:hAnsi="Arial" w:cs="Arial"/>
          <w:lang w:val="es-ES" w:eastAsia="es-ES"/>
        </w:rPr>
        <w:t xml:space="preserve"> liquidación y pago de las contribuciones parafiscales del </w:t>
      </w:r>
      <w:r w:rsidR="001734BE" w:rsidRPr="001734BE">
        <w:rPr>
          <w:rFonts w:ascii="Arial" w:eastAsia="Times New Roman" w:hAnsi="Arial" w:cs="Arial"/>
          <w:lang w:val="es-ES" w:eastAsia="es-ES"/>
        </w:rPr>
        <w:t>sistema de la protección social, así como de disponer de la información relevante para ejercer el control a la evasión de dichas contribuciones</w:t>
      </w:r>
      <w:r>
        <w:rPr>
          <w:rFonts w:ascii="Arial" w:eastAsia="Times New Roman" w:hAnsi="Arial" w:cs="Arial"/>
          <w:lang w:val="es-ES" w:eastAsia="es-ES"/>
        </w:rPr>
        <w:t xml:space="preserve">, razón por la cual el legislador contempló un régimen sancionatorio, que la Unidad no puede desconocer </w:t>
      </w:r>
      <w:proofErr w:type="spellStart"/>
      <w:r>
        <w:rPr>
          <w:rFonts w:ascii="Arial" w:eastAsia="Times New Roman" w:hAnsi="Arial" w:cs="Arial"/>
          <w:lang w:val="es-ES" w:eastAsia="es-ES"/>
        </w:rPr>
        <w:t>cuando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se presenten hechos contrarios a lo exigido en la propia norma.</w:t>
      </w:r>
    </w:p>
    <w:p w14:paraId="5251F556" w14:textId="77777777" w:rsidR="001734BE" w:rsidRPr="00E317A3" w:rsidRDefault="001734BE" w:rsidP="00F26CA4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C397854" w14:textId="4FD0DEB0" w:rsidR="001734BE" w:rsidRDefault="00697EF9" w:rsidP="001734B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La unidad acepta a solicitud de los interesados </w:t>
      </w:r>
      <w:r w:rsidR="00E43B1A">
        <w:rPr>
          <w:rFonts w:ascii="Arial" w:eastAsia="Times New Roman" w:hAnsi="Arial" w:cs="Arial"/>
          <w:lang w:val="es-ES" w:eastAsia="es-ES"/>
        </w:rPr>
        <w:t>de</w:t>
      </w:r>
      <w:r w:rsidR="001734BE">
        <w:rPr>
          <w:rFonts w:ascii="Arial" w:eastAsia="Times New Roman" w:hAnsi="Arial" w:cs="Arial"/>
          <w:lang w:val="es-ES" w:eastAsia="es-ES"/>
        </w:rPr>
        <w:t xml:space="preserve"> establecer una herramienta clara que facilite la</w:t>
      </w:r>
      <w:r w:rsidR="001734BE" w:rsidRPr="001734BE">
        <w:rPr>
          <w:rFonts w:ascii="Arial" w:eastAsia="Times New Roman" w:hAnsi="Arial" w:cs="Arial"/>
          <w:lang w:val="es-ES" w:eastAsia="es-ES"/>
        </w:rPr>
        <w:t xml:space="preserve"> entrega de la información solicitada por la UGPP</w:t>
      </w:r>
      <w:r w:rsidR="001734BE">
        <w:rPr>
          <w:rFonts w:ascii="Arial" w:eastAsia="Times New Roman" w:hAnsi="Arial" w:cs="Arial"/>
          <w:lang w:val="es-ES" w:eastAsia="es-ES"/>
        </w:rPr>
        <w:t xml:space="preserve">, la cual </w:t>
      </w:r>
      <w:r w:rsidR="001734BE" w:rsidRPr="001734BE">
        <w:rPr>
          <w:rFonts w:ascii="Arial" w:eastAsia="Times New Roman" w:hAnsi="Arial" w:cs="Arial"/>
          <w:lang w:val="es-ES" w:eastAsia="es-ES"/>
        </w:rPr>
        <w:t xml:space="preserve"> se hará mediante un servicio SOAP (Simple </w:t>
      </w:r>
      <w:proofErr w:type="spellStart"/>
      <w:r w:rsidR="001734BE" w:rsidRPr="001734BE">
        <w:rPr>
          <w:rFonts w:ascii="Arial" w:eastAsia="Times New Roman" w:hAnsi="Arial" w:cs="Arial"/>
          <w:lang w:val="es-ES" w:eastAsia="es-ES"/>
        </w:rPr>
        <w:t>Object</w:t>
      </w:r>
      <w:proofErr w:type="spellEnd"/>
      <w:r w:rsidR="001734BE" w:rsidRPr="001734BE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="001734BE" w:rsidRPr="001734BE">
        <w:rPr>
          <w:rFonts w:ascii="Arial" w:eastAsia="Times New Roman" w:hAnsi="Arial" w:cs="Arial"/>
          <w:lang w:val="es-ES" w:eastAsia="es-ES"/>
        </w:rPr>
        <w:t>Acces</w:t>
      </w:r>
      <w:proofErr w:type="spellEnd"/>
      <w:r w:rsidR="001734BE" w:rsidRPr="001734BE">
        <w:rPr>
          <w:rFonts w:ascii="Arial" w:eastAsia="Times New Roman" w:hAnsi="Arial" w:cs="Arial"/>
          <w:lang w:val="es-ES" w:eastAsia="es-ES"/>
        </w:rPr>
        <w:t xml:space="preserve"> </w:t>
      </w:r>
      <w:proofErr w:type="spellStart"/>
      <w:r w:rsidR="001734BE" w:rsidRPr="001734BE">
        <w:rPr>
          <w:rFonts w:ascii="Arial" w:eastAsia="Times New Roman" w:hAnsi="Arial" w:cs="Arial"/>
          <w:lang w:val="es-ES" w:eastAsia="es-ES"/>
        </w:rPr>
        <w:t>Protocol</w:t>
      </w:r>
      <w:proofErr w:type="spellEnd"/>
      <w:r w:rsidR="001734BE" w:rsidRPr="001734BE">
        <w:rPr>
          <w:rFonts w:ascii="Arial" w:eastAsia="Times New Roman" w:hAnsi="Arial" w:cs="Arial"/>
          <w:lang w:val="es-ES" w:eastAsia="es-ES"/>
        </w:rPr>
        <w:t>) y formato XML. Se elabora un anexo té</w:t>
      </w:r>
      <w:r w:rsidR="00E43B1A">
        <w:rPr>
          <w:rFonts w:ascii="Arial" w:eastAsia="Times New Roman" w:hAnsi="Arial" w:cs="Arial"/>
          <w:lang w:val="es-ES" w:eastAsia="es-ES"/>
        </w:rPr>
        <w:t xml:space="preserve">cnico para mayor entendimiento que forma </w:t>
      </w:r>
      <w:r w:rsidR="006B7F00">
        <w:rPr>
          <w:rFonts w:ascii="Arial" w:eastAsia="Times New Roman" w:hAnsi="Arial" w:cs="Arial"/>
          <w:lang w:val="es-ES" w:eastAsia="es-ES"/>
        </w:rPr>
        <w:t xml:space="preserve">parte del acto administrativo que </w:t>
      </w:r>
      <w:r w:rsidR="001734BE" w:rsidRPr="001734BE">
        <w:rPr>
          <w:rFonts w:ascii="Arial" w:eastAsia="Times New Roman" w:hAnsi="Arial" w:cs="Arial"/>
          <w:lang w:val="es-ES" w:eastAsia="es-ES"/>
        </w:rPr>
        <w:t xml:space="preserve">permitirá validar previamente la información a entregar, con el fin de minimizar el riesgo </w:t>
      </w:r>
      <w:r w:rsidR="006B7F00">
        <w:rPr>
          <w:rFonts w:ascii="Arial" w:eastAsia="Times New Roman" w:hAnsi="Arial" w:cs="Arial"/>
          <w:lang w:val="es-ES" w:eastAsia="es-ES"/>
        </w:rPr>
        <w:t xml:space="preserve">de imposición de sanciones </w:t>
      </w:r>
      <w:r w:rsidR="00E43B1A">
        <w:rPr>
          <w:rFonts w:ascii="Arial" w:eastAsia="Times New Roman" w:hAnsi="Arial" w:cs="Arial"/>
          <w:lang w:val="es-ES" w:eastAsia="es-ES"/>
        </w:rPr>
        <w:t>p</w:t>
      </w:r>
      <w:r w:rsidR="001734BE" w:rsidRPr="001734BE">
        <w:rPr>
          <w:rFonts w:ascii="Arial" w:eastAsia="Times New Roman" w:hAnsi="Arial" w:cs="Arial"/>
          <w:lang w:val="es-ES" w:eastAsia="es-ES"/>
        </w:rPr>
        <w:t>or parte de la UGPP</w:t>
      </w:r>
      <w:r w:rsidR="006B7F00">
        <w:rPr>
          <w:rFonts w:ascii="Arial" w:eastAsia="Times New Roman" w:hAnsi="Arial" w:cs="Arial"/>
          <w:lang w:val="es-ES" w:eastAsia="es-ES"/>
        </w:rPr>
        <w:t>, previo el debido proceso.</w:t>
      </w:r>
    </w:p>
    <w:p w14:paraId="252879D6" w14:textId="77777777" w:rsidR="006B7F00" w:rsidRDefault="006B7F00" w:rsidP="001734BE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C2200B6" w14:textId="1EBA88DB" w:rsidR="006B7F00" w:rsidRDefault="00515781" w:rsidP="0074704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De igual manera, </w:t>
      </w:r>
      <w:r w:rsidR="00697EF9">
        <w:rPr>
          <w:rFonts w:ascii="Arial" w:eastAsia="Times New Roman" w:hAnsi="Arial" w:cs="Arial"/>
          <w:lang w:val="es-ES" w:eastAsia="es-ES"/>
        </w:rPr>
        <w:t>la U</w:t>
      </w:r>
      <w:r w:rsidR="006B7F00">
        <w:rPr>
          <w:rFonts w:ascii="Arial" w:eastAsia="Times New Roman" w:hAnsi="Arial" w:cs="Arial"/>
          <w:lang w:val="es-ES" w:eastAsia="es-ES"/>
        </w:rPr>
        <w:t xml:space="preserve">nidad </w:t>
      </w:r>
      <w:r w:rsidR="001E2521">
        <w:rPr>
          <w:rFonts w:ascii="Arial" w:eastAsia="Times New Roman" w:hAnsi="Arial" w:cs="Arial"/>
          <w:lang w:val="es-ES" w:eastAsia="es-ES"/>
        </w:rPr>
        <w:t xml:space="preserve">considera </w:t>
      </w:r>
      <w:r>
        <w:rPr>
          <w:rFonts w:ascii="Arial" w:eastAsia="Times New Roman" w:hAnsi="Arial" w:cs="Arial"/>
          <w:lang w:val="es-ES" w:eastAsia="es-ES"/>
        </w:rPr>
        <w:t xml:space="preserve">improbable contemplar </w:t>
      </w:r>
      <w:r w:rsidR="006B7F00">
        <w:rPr>
          <w:rFonts w:ascii="Arial" w:eastAsia="Times New Roman" w:hAnsi="Arial" w:cs="Arial"/>
          <w:lang w:val="es-ES" w:eastAsia="es-ES"/>
        </w:rPr>
        <w:t>un término de transición para la entrega de la información por parte de los sujetos obligado, teniendo en cuenta que cumplir con la obligación no implica cambios en sus plataformas tecnológicas.</w:t>
      </w:r>
    </w:p>
    <w:p w14:paraId="75210DB3" w14:textId="77777777" w:rsidR="00515781" w:rsidRDefault="00515781" w:rsidP="0074704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0178B8F" w14:textId="4A08D454" w:rsidR="00515781" w:rsidRDefault="00515781" w:rsidP="0074704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Finalmente la información solicitada corresponde a la que los operadores de información, incluidos fuentes de información y/o bases de datos dispongan tanto de su cliente interno como externo.</w:t>
      </w:r>
    </w:p>
    <w:p w14:paraId="44BCE9A5" w14:textId="77777777" w:rsidR="006B7F00" w:rsidRDefault="006B7F00" w:rsidP="0074704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1E5C46B8" w14:textId="77777777" w:rsidR="006B7F00" w:rsidRDefault="006B7F00" w:rsidP="0074704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2E2F12C" w14:textId="6F823648" w:rsidR="00747048" w:rsidRPr="00393E59" w:rsidRDefault="00747048" w:rsidP="0074704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17A3">
        <w:rPr>
          <w:rFonts w:ascii="Arial" w:eastAsia="Times New Roman" w:hAnsi="Arial" w:cs="Arial"/>
          <w:color w:val="000000"/>
          <w:lang w:eastAsia="es-CO"/>
        </w:rPr>
        <w:t>–––––––––––––––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–––––––––––––––––––––––––––––––––––</w:t>
      </w:r>
    </w:p>
    <w:sectPr w:rsidR="00747048" w:rsidRPr="00393E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AF1"/>
    <w:multiLevelType w:val="hybridMultilevel"/>
    <w:tmpl w:val="C48E0D5A"/>
    <w:lvl w:ilvl="0" w:tplc="7DDE51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BC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E3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E87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E7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2E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CFD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265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CB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F6314"/>
    <w:multiLevelType w:val="hybridMultilevel"/>
    <w:tmpl w:val="B1AA5A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330E"/>
    <w:multiLevelType w:val="hybridMultilevel"/>
    <w:tmpl w:val="F98AB6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7F3E28"/>
    <w:multiLevelType w:val="hybridMultilevel"/>
    <w:tmpl w:val="A93C17BA"/>
    <w:lvl w:ilvl="0" w:tplc="90FEF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6C6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88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CE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722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4B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463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63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0C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6F2489"/>
    <w:multiLevelType w:val="hybridMultilevel"/>
    <w:tmpl w:val="183E70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F386C"/>
    <w:multiLevelType w:val="hybridMultilevel"/>
    <w:tmpl w:val="40E047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B4D7A"/>
    <w:multiLevelType w:val="hybridMultilevel"/>
    <w:tmpl w:val="A61AC448"/>
    <w:lvl w:ilvl="0" w:tplc="7A8008E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12A60"/>
    <w:multiLevelType w:val="hybridMultilevel"/>
    <w:tmpl w:val="0E703C7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5"/>
    <w:rsid w:val="000348EC"/>
    <w:rsid w:val="00046A2D"/>
    <w:rsid w:val="000567A6"/>
    <w:rsid w:val="00060737"/>
    <w:rsid w:val="0006314A"/>
    <w:rsid w:val="00080E0D"/>
    <w:rsid w:val="00081456"/>
    <w:rsid w:val="00093428"/>
    <w:rsid w:val="00146298"/>
    <w:rsid w:val="00167541"/>
    <w:rsid w:val="001734BE"/>
    <w:rsid w:val="0017601A"/>
    <w:rsid w:val="00187790"/>
    <w:rsid w:val="001A5AC5"/>
    <w:rsid w:val="001B0353"/>
    <w:rsid w:val="001E2521"/>
    <w:rsid w:val="001E3B20"/>
    <w:rsid w:val="001F6038"/>
    <w:rsid w:val="00207C60"/>
    <w:rsid w:val="002144FF"/>
    <w:rsid w:val="0021620B"/>
    <w:rsid w:val="002228DC"/>
    <w:rsid w:val="00243AC9"/>
    <w:rsid w:val="002650A4"/>
    <w:rsid w:val="002B7254"/>
    <w:rsid w:val="00314DA4"/>
    <w:rsid w:val="00315196"/>
    <w:rsid w:val="00393E59"/>
    <w:rsid w:val="00401B25"/>
    <w:rsid w:val="004375D7"/>
    <w:rsid w:val="004C66A3"/>
    <w:rsid w:val="004F01A6"/>
    <w:rsid w:val="004F22D9"/>
    <w:rsid w:val="004F6AC8"/>
    <w:rsid w:val="00515781"/>
    <w:rsid w:val="00521793"/>
    <w:rsid w:val="00532D2C"/>
    <w:rsid w:val="00552AA5"/>
    <w:rsid w:val="00576B98"/>
    <w:rsid w:val="005902AF"/>
    <w:rsid w:val="00593E9A"/>
    <w:rsid w:val="005E2546"/>
    <w:rsid w:val="006368F8"/>
    <w:rsid w:val="00683EB9"/>
    <w:rsid w:val="00697EF9"/>
    <w:rsid w:val="006B7F00"/>
    <w:rsid w:val="00747048"/>
    <w:rsid w:val="007509FB"/>
    <w:rsid w:val="00782200"/>
    <w:rsid w:val="007E1067"/>
    <w:rsid w:val="007E3EF8"/>
    <w:rsid w:val="007E6808"/>
    <w:rsid w:val="007F1305"/>
    <w:rsid w:val="007F5BA6"/>
    <w:rsid w:val="00802896"/>
    <w:rsid w:val="00817D47"/>
    <w:rsid w:val="008310F1"/>
    <w:rsid w:val="00833E77"/>
    <w:rsid w:val="008625E1"/>
    <w:rsid w:val="00866CEC"/>
    <w:rsid w:val="0088057F"/>
    <w:rsid w:val="008916D1"/>
    <w:rsid w:val="008A71EE"/>
    <w:rsid w:val="008B7C93"/>
    <w:rsid w:val="008D733B"/>
    <w:rsid w:val="008E3846"/>
    <w:rsid w:val="008E6B10"/>
    <w:rsid w:val="008F0EB7"/>
    <w:rsid w:val="008F57AE"/>
    <w:rsid w:val="00904064"/>
    <w:rsid w:val="00912E31"/>
    <w:rsid w:val="009844E0"/>
    <w:rsid w:val="00991797"/>
    <w:rsid w:val="00A241BD"/>
    <w:rsid w:val="00A41047"/>
    <w:rsid w:val="00A54611"/>
    <w:rsid w:val="00A646C1"/>
    <w:rsid w:val="00AC7DC5"/>
    <w:rsid w:val="00AE31E2"/>
    <w:rsid w:val="00AF69FD"/>
    <w:rsid w:val="00B42428"/>
    <w:rsid w:val="00BE62B3"/>
    <w:rsid w:val="00BF54B4"/>
    <w:rsid w:val="00C05B3B"/>
    <w:rsid w:val="00C310E4"/>
    <w:rsid w:val="00C439E3"/>
    <w:rsid w:val="00CA4275"/>
    <w:rsid w:val="00CA508F"/>
    <w:rsid w:val="00CE6E79"/>
    <w:rsid w:val="00CF22B4"/>
    <w:rsid w:val="00D17D40"/>
    <w:rsid w:val="00D32424"/>
    <w:rsid w:val="00D36334"/>
    <w:rsid w:val="00D51702"/>
    <w:rsid w:val="00D51BE3"/>
    <w:rsid w:val="00DA3299"/>
    <w:rsid w:val="00DA4ECE"/>
    <w:rsid w:val="00DB7E44"/>
    <w:rsid w:val="00DF410B"/>
    <w:rsid w:val="00E07BA5"/>
    <w:rsid w:val="00E317A3"/>
    <w:rsid w:val="00E43B1A"/>
    <w:rsid w:val="00E46D6D"/>
    <w:rsid w:val="00E55840"/>
    <w:rsid w:val="00E60B66"/>
    <w:rsid w:val="00E6324D"/>
    <w:rsid w:val="00E73BB2"/>
    <w:rsid w:val="00EA2124"/>
    <w:rsid w:val="00EA2D9C"/>
    <w:rsid w:val="00EE0CB8"/>
    <w:rsid w:val="00EF66DE"/>
    <w:rsid w:val="00F022AD"/>
    <w:rsid w:val="00F17B37"/>
    <w:rsid w:val="00F26CA4"/>
    <w:rsid w:val="00F272C7"/>
    <w:rsid w:val="00F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8E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314A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6754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1675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CM222">
    <w:name w:val="CM222"/>
    <w:basedOn w:val="Default"/>
    <w:next w:val="Default"/>
    <w:uiPriority w:val="99"/>
    <w:rsid w:val="00167541"/>
    <w:rPr>
      <w:rFonts w:eastAsiaTheme="minorEastAsia"/>
      <w:color w:val="auto"/>
    </w:rPr>
  </w:style>
  <w:style w:type="character" w:customStyle="1" w:styleId="baj">
    <w:name w:val="b_aj"/>
    <w:basedOn w:val="Fuentedeprrafopredeter"/>
    <w:rsid w:val="00DA3299"/>
  </w:style>
  <w:style w:type="paragraph" w:styleId="Textoindependiente">
    <w:name w:val="Body Text"/>
    <w:basedOn w:val="Normal"/>
    <w:link w:val="TextoindependienteCar"/>
    <w:semiHidden/>
    <w:rsid w:val="00393E5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93E59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43B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314A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67541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1675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CM222">
    <w:name w:val="CM222"/>
    <w:basedOn w:val="Default"/>
    <w:next w:val="Default"/>
    <w:uiPriority w:val="99"/>
    <w:rsid w:val="00167541"/>
    <w:rPr>
      <w:rFonts w:eastAsiaTheme="minorEastAsia"/>
      <w:color w:val="auto"/>
    </w:rPr>
  </w:style>
  <w:style w:type="character" w:customStyle="1" w:styleId="baj">
    <w:name w:val="b_aj"/>
    <w:basedOn w:val="Fuentedeprrafopredeter"/>
    <w:rsid w:val="00DA3299"/>
  </w:style>
  <w:style w:type="paragraph" w:styleId="Textoindependiente">
    <w:name w:val="Body Text"/>
    <w:basedOn w:val="Normal"/>
    <w:link w:val="TextoindependienteCar"/>
    <w:semiHidden/>
    <w:rsid w:val="00393E5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93E59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43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ogotajuridica.gov.co/sisjurMantenimiento/normas/Norma1.jsp?i=285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E4A0-67D2-46F8-9EA6-30F7B298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71BE4B42</Template>
  <TotalTime>6</TotalTime>
  <Pages>4</Pages>
  <Words>1406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Hacienda y Crédito Público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Prieto Ariza</dc:creator>
  <cp:lastModifiedBy>CLAUDIA ALEJANDRA CAICEDO BORRAS</cp:lastModifiedBy>
  <cp:revision>3</cp:revision>
  <dcterms:created xsi:type="dcterms:W3CDTF">2019-11-30T16:20:00Z</dcterms:created>
  <dcterms:modified xsi:type="dcterms:W3CDTF">2019-11-30T16:44:00Z</dcterms:modified>
</cp:coreProperties>
</file>