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174109" w14:textId="07246D94" w:rsidR="0081777B" w:rsidRPr="0081777B" w:rsidRDefault="00553D75" w:rsidP="0081777B">
      <w:pPr>
        <w:pStyle w:val="Piedepgina"/>
        <w:jc w:val="center"/>
        <w:rPr>
          <w:rFonts w:ascii="Arial" w:hAnsi="Arial" w:cs="Arial"/>
          <w:b/>
          <w:bCs/>
          <w:i/>
          <w:iCs/>
        </w:rPr>
      </w:pPr>
      <w:r w:rsidRPr="0081777B">
        <w:rPr>
          <w:rFonts w:ascii="Arial" w:hAnsi="Arial" w:cs="Arial"/>
          <w:b/>
          <w:bCs/>
        </w:rPr>
        <w:t xml:space="preserve">SOPORTE </w:t>
      </w:r>
      <w:r w:rsidR="0081777B" w:rsidRPr="0081777B">
        <w:rPr>
          <w:rFonts w:ascii="Arial" w:hAnsi="Arial" w:cs="Arial"/>
          <w:b/>
          <w:bCs/>
        </w:rPr>
        <w:t>TECNICO PROYECTO DE RESOLUCIÓN</w:t>
      </w:r>
      <w:r w:rsidR="0081777B" w:rsidRPr="0081777B">
        <w:rPr>
          <w:rFonts w:ascii="Arial" w:hAnsi="Arial" w:cs="Arial"/>
          <w:b/>
          <w:bCs/>
          <w:i/>
          <w:iCs/>
        </w:rPr>
        <w:t xml:space="preserve"> </w:t>
      </w:r>
    </w:p>
    <w:p w14:paraId="157D976B" w14:textId="77777777" w:rsidR="0081777B" w:rsidRDefault="0081777B" w:rsidP="0081777B">
      <w:pPr>
        <w:pStyle w:val="Piedepgina"/>
        <w:jc w:val="center"/>
        <w:rPr>
          <w:rFonts w:ascii="Arial" w:eastAsia="Times New Roman" w:hAnsi="Arial" w:cs="Arial"/>
          <w:b/>
          <w:bCs/>
          <w:i/>
          <w:iCs/>
        </w:rPr>
      </w:pPr>
    </w:p>
    <w:p w14:paraId="32EEB679" w14:textId="18EEA005" w:rsidR="007D79AB" w:rsidRPr="0081777B" w:rsidRDefault="00906190" w:rsidP="0081777B">
      <w:pPr>
        <w:pStyle w:val="Piedepgina"/>
        <w:jc w:val="center"/>
        <w:rPr>
          <w:rFonts w:ascii="Arial" w:hAnsi="Arial" w:cs="Arial"/>
          <w:b/>
          <w:bCs/>
          <w:i/>
          <w:iCs/>
        </w:rPr>
      </w:pPr>
      <w:r w:rsidRPr="0081777B">
        <w:rPr>
          <w:rFonts w:ascii="Arial" w:eastAsia="Times New Roman" w:hAnsi="Arial" w:cs="Arial"/>
          <w:b/>
          <w:bCs/>
          <w:i/>
          <w:iCs/>
        </w:rPr>
        <w:t>“Por la cual se modifica y adiciona la Resolución 1145 del 8 de noviembre de 2021”</w:t>
      </w:r>
    </w:p>
    <w:p w14:paraId="579BBF98" w14:textId="77777777" w:rsidR="007D79AB" w:rsidRPr="008E299F" w:rsidRDefault="007D79AB" w:rsidP="00361B99">
      <w:pPr>
        <w:pStyle w:val="Piedepgina"/>
        <w:jc w:val="both"/>
        <w:rPr>
          <w:rFonts w:ascii="Arial" w:hAnsi="Arial" w:cs="Arial"/>
          <w:sz w:val="22"/>
          <w:szCs w:val="22"/>
        </w:rPr>
      </w:pPr>
    </w:p>
    <w:p w14:paraId="33013A32" w14:textId="7641351E" w:rsidR="007D79AB" w:rsidRPr="0081777B" w:rsidRDefault="0081777B" w:rsidP="0081777B">
      <w:pPr>
        <w:jc w:val="both"/>
        <w:rPr>
          <w:rFonts w:ascii="Arial" w:hAnsi="Arial" w:cs="Arial"/>
          <w:b/>
          <w:bCs/>
        </w:rPr>
      </w:pPr>
      <w:r>
        <w:rPr>
          <w:rFonts w:ascii="Arial" w:hAnsi="Arial" w:cs="Arial"/>
          <w:b/>
          <w:bCs/>
        </w:rPr>
        <w:t xml:space="preserve">1. </w:t>
      </w:r>
      <w:r w:rsidR="00361B99" w:rsidRPr="0081777B">
        <w:rPr>
          <w:rFonts w:ascii="Arial" w:hAnsi="Arial" w:cs="Arial"/>
          <w:b/>
          <w:bCs/>
        </w:rPr>
        <w:t>ANTECEDENTES</w:t>
      </w:r>
      <w:r w:rsidR="007D79AB" w:rsidRPr="0081777B">
        <w:rPr>
          <w:rFonts w:ascii="Arial" w:hAnsi="Arial" w:cs="Arial"/>
          <w:b/>
          <w:bCs/>
        </w:rPr>
        <w:t xml:space="preserve">. </w:t>
      </w:r>
    </w:p>
    <w:p w14:paraId="472FD610" w14:textId="77777777" w:rsidR="00E76053" w:rsidRPr="008E299F" w:rsidRDefault="00E76053" w:rsidP="00E76053">
      <w:pPr>
        <w:shd w:val="clear" w:color="auto" w:fill="FFFFFF"/>
        <w:spacing w:after="0" w:line="240" w:lineRule="auto"/>
        <w:jc w:val="both"/>
        <w:rPr>
          <w:rFonts w:ascii="Arial" w:eastAsia="MS Mincho" w:hAnsi="Arial" w:cs="Arial"/>
          <w:lang w:val="es-ES" w:eastAsia="es-ES"/>
        </w:rPr>
      </w:pPr>
    </w:p>
    <w:p w14:paraId="46AB0622" w14:textId="298E8DC4" w:rsidR="008E299F" w:rsidRPr="008E299F" w:rsidRDefault="008E299F" w:rsidP="008E299F">
      <w:pPr>
        <w:spacing w:after="120" w:line="240" w:lineRule="auto"/>
        <w:ind w:right="107"/>
        <w:jc w:val="both"/>
        <w:rPr>
          <w:rFonts w:ascii="Arial" w:eastAsia="Times New Roman" w:hAnsi="Arial" w:cs="Arial"/>
          <w:lang w:eastAsia="es-ES"/>
        </w:rPr>
      </w:pPr>
      <w:r>
        <w:rPr>
          <w:rFonts w:ascii="Arial" w:eastAsia="Times New Roman" w:hAnsi="Arial" w:cs="Arial"/>
          <w:lang w:eastAsia="es-ES"/>
        </w:rPr>
        <w:t>M</w:t>
      </w:r>
      <w:r w:rsidRPr="008E299F">
        <w:rPr>
          <w:rFonts w:ascii="Arial" w:eastAsia="Times New Roman" w:hAnsi="Arial" w:cs="Arial"/>
          <w:lang w:eastAsia="es-ES"/>
        </w:rPr>
        <w:t>ediante la Resolución 1145 del 8 de junio de 2021, la</w:t>
      </w:r>
      <w:r w:rsidRPr="008E299F">
        <w:rPr>
          <w:rFonts w:ascii="Arial" w:eastAsia="Times New Roman" w:hAnsi="Arial" w:cs="Arial"/>
          <w:lang w:val="es-ES" w:eastAsia="es-ES"/>
        </w:rPr>
        <w:t xml:space="preserve"> Unidad Administrativa Especial de Gestión Pensional y Contribuciones Parafiscales de la Protección Social (UGPP)</w:t>
      </w:r>
      <w:r w:rsidRPr="008E299F">
        <w:rPr>
          <w:rFonts w:ascii="Arial" w:eastAsia="Times New Roman" w:hAnsi="Arial" w:cs="Arial"/>
          <w:lang w:eastAsia="es-ES"/>
        </w:rPr>
        <w:t xml:space="preserve"> definió y adoptó la política de cobro y los parámetros para </w:t>
      </w:r>
      <w:r w:rsidRPr="008E299F">
        <w:rPr>
          <w:rFonts w:ascii="Arial" w:eastAsia="Times New Roman" w:hAnsi="Arial" w:cs="Arial"/>
          <w:lang w:val="es-ES" w:eastAsia="es-ES"/>
        </w:rPr>
        <w:t xml:space="preserve">adelantar </w:t>
      </w:r>
      <w:r w:rsidRPr="008E299F">
        <w:rPr>
          <w:rFonts w:ascii="Arial" w:eastAsia="MS Mincho" w:hAnsi="Arial" w:cs="Arial"/>
          <w:bCs/>
          <w:lang w:eastAsia="es-ES"/>
        </w:rPr>
        <w:t xml:space="preserve">las labores persuasivas y de fiscalización </w:t>
      </w:r>
      <w:r w:rsidRPr="008E299F">
        <w:rPr>
          <w:rFonts w:ascii="Arial" w:eastAsia="Times New Roman" w:hAnsi="Arial" w:cs="Arial"/>
          <w:lang w:val="es-ES" w:eastAsia="es-ES"/>
        </w:rPr>
        <w:t>a</w:t>
      </w:r>
      <w:r w:rsidRPr="008E299F">
        <w:rPr>
          <w:rFonts w:ascii="Arial" w:eastAsia="MS Mincho" w:hAnsi="Arial" w:cs="Arial"/>
          <w:bCs/>
          <w:lang w:eastAsia="es-ES"/>
        </w:rPr>
        <w:t xml:space="preserve"> los beneficiarios de los Programas de Apoyo al Empleo Formal - PAEF y de Apoyo al Pago de la Prima de Servicios – PAP.</w:t>
      </w:r>
    </w:p>
    <w:p w14:paraId="2A1724FD" w14:textId="5BAEF08D" w:rsidR="008E299F" w:rsidRPr="008E299F" w:rsidRDefault="008E299F" w:rsidP="008E299F">
      <w:pPr>
        <w:spacing w:after="120" w:line="240" w:lineRule="auto"/>
        <w:ind w:right="107"/>
        <w:jc w:val="both"/>
        <w:rPr>
          <w:rFonts w:ascii="Arial" w:eastAsia="Times New Roman" w:hAnsi="Arial" w:cs="Arial"/>
          <w:lang w:eastAsia="es-ES"/>
        </w:rPr>
      </w:pPr>
      <w:r>
        <w:rPr>
          <w:rFonts w:ascii="Arial" w:eastAsia="Times New Roman" w:hAnsi="Arial" w:cs="Arial"/>
          <w:lang w:eastAsia="es-ES"/>
        </w:rPr>
        <w:t>De otra parte,</w:t>
      </w:r>
      <w:r w:rsidRPr="008E299F">
        <w:rPr>
          <w:rFonts w:ascii="Arial" w:eastAsia="Times New Roman" w:hAnsi="Arial" w:cs="Arial"/>
          <w:lang w:eastAsia="es-ES"/>
        </w:rPr>
        <w:t xml:space="preserve"> el Ministerio de Hacienda y Crédito Público (MHCP) expidió la Resolución No 1610 del 24 de junio de 2022 “</w:t>
      </w:r>
      <w:r w:rsidRPr="008E299F">
        <w:rPr>
          <w:rFonts w:ascii="Arial" w:eastAsia="Times New Roman" w:hAnsi="Arial" w:cs="Arial"/>
          <w:i/>
          <w:iCs/>
          <w:lang w:eastAsia="es-ES"/>
        </w:rPr>
        <w:t>Por medio de la cual se modifica la Resolución 2162 de 2020 del Programa de Apoyo al Empleo Formal -PAEF, la Resolución 1361 de 2020 del Programa de Apoyo para el Pago de la Prima de Servicios -PAP y la Resolución 2474 de 2021 del Programa Apoyo a las Empresas Afectadas por el Paro Nacional- AEAP, para  ajustar  los procedimientos de restitución de los tres Programas habiendo finalizado los giros ordinarios de los mismos</w:t>
      </w:r>
      <w:r w:rsidRPr="008E299F">
        <w:rPr>
          <w:rFonts w:ascii="Arial" w:eastAsia="Times New Roman" w:hAnsi="Arial" w:cs="Arial"/>
          <w:lang w:eastAsia="es-ES"/>
        </w:rPr>
        <w:t xml:space="preserve">”. </w:t>
      </w:r>
    </w:p>
    <w:p w14:paraId="45D40281" w14:textId="371C76C5" w:rsidR="008E299F" w:rsidRDefault="008E299F" w:rsidP="008E299F">
      <w:pPr>
        <w:spacing w:after="120" w:line="240" w:lineRule="auto"/>
        <w:ind w:right="107"/>
        <w:jc w:val="both"/>
        <w:rPr>
          <w:rFonts w:ascii="Arial" w:eastAsia="Times New Roman" w:hAnsi="Arial" w:cs="Arial"/>
          <w:lang w:eastAsia="es-ES"/>
        </w:rPr>
      </w:pPr>
    </w:p>
    <w:p w14:paraId="5A0541AD" w14:textId="33AFD486" w:rsidR="00112D05" w:rsidRPr="0081777B" w:rsidRDefault="0081777B" w:rsidP="0081777B">
      <w:pPr>
        <w:spacing w:after="120" w:line="240" w:lineRule="auto"/>
        <w:ind w:right="107"/>
        <w:jc w:val="both"/>
        <w:rPr>
          <w:rFonts w:ascii="Arial" w:eastAsia="Times New Roman" w:hAnsi="Arial" w:cs="Arial"/>
          <w:lang w:eastAsia="es-ES"/>
        </w:rPr>
      </w:pPr>
      <w:r>
        <w:rPr>
          <w:rFonts w:ascii="Arial" w:hAnsi="Arial" w:cs="Arial"/>
          <w:b/>
          <w:bCs/>
        </w:rPr>
        <w:t xml:space="preserve">2. </w:t>
      </w:r>
      <w:r w:rsidR="00112D05" w:rsidRPr="0081777B">
        <w:rPr>
          <w:rFonts w:ascii="Arial" w:hAnsi="Arial" w:cs="Arial"/>
          <w:b/>
          <w:bCs/>
        </w:rPr>
        <w:t>RAZONES DE OPORTUNIDAD Y CONVENIENCIA QUE JUSTIFICAN SU EXPEDICIÓN DEL ACTO ADMINISTRATIVO</w:t>
      </w:r>
    </w:p>
    <w:p w14:paraId="5B447B1E" w14:textId="77777777" w:rsidR="00112D05" w:rsidRPr="00112D05" w:rsidRDefault="00112D05" w:rsidP="00112D05">
      <w:pPr>
        <w:pStyle w:val="Prrafodelista"/>
        <w:spacing w:after="120" w:line="240" w:lineRule="auto"/>
        <w:ind w:right="107"/>
        <w:jc w:val="both"/>
        <w:rPr>
          <w:rFonts w:ascii="Arial" w:eastAsia="Times New Roman" w:hAnsi="Arial" w:cs="Arial"/>
          <w:lang w:eastAsia="es-ES"/>
        </w:rPr>
      </w:pPr>
    </w:p>
    <w:p w14:paraId="17803E78" w14:textId="77777777" w:rsidR="00112D05" w:rsidRDefault="008E299F" w:rsidP="008E299F">
      <w:pPr>
        <w:spacing w:after="120" w:line="240" w:lineRule="auto"/>
        <w:ind w:right="107"/>
        <w:jc w:val="both"/>
        <w:rPr>
          <w:rFonts w:ascii="Arial" w:eastAsia="Times New Roman" w:hAnsi="Arial" w:cs="Arial"/>
          <w:lang w:eastAsia="es-ES"/>
        </w:rPr>
      </w:pPr>
      <w:r>
        <w:rPr>
          <w:rFonts w:ascii="Arial" w:eastAsia="Times New Roman" w:hAnsi="Arial" w:cs="Arial"/>
          <w:lang w:eastAsia="es-ES"/>
        </w:rPr>
        <w:t xml:space="preserve">Por consiguiente con el </w:t>
      </w:r>
      <w:r w:rsidRPr="008E299F">
        <w:rPr>
          <w:rFonts w:ascii="Arial" w:eastAsia="Times New Roman" w:hAnsi="Arial" w:cs="Arial"/>
          <w:lang w:eastAsia="es-ES"/>
        </w:rPr>
        <w:t>fin de atender la modificación del procedimiento de restitución de los recursos en los términos señalados en la Resolución No. 1610 de 24 de junio de 2022 del Ministerio de Hacienda y Crédito Público (MHCP), es necesario modificar la Resolución 1145 de 2021, con el fin de incorporar esta nueva regulación, precisando la forma como los beneficiarios de los mencionados programas restituirán los aportes estatales, cuando opten por hacerlo voluntaria y unilateralmente o en cumplimiento del proceso persuasivo o de fiscalización que adelante la UGPP y reglamentar la manera como la Unidad realizará la imputación de pagos, una vez reciba los recursos con ocasión de las citadas acciones.</w:t>
      </w:r>
      <w:r w:rsidR="00112D05">
        <w:rPr>
          <w:rFonts w:ascii="Arial" w:eastAsia="Times New Roman" w:hAnsi="Arial" w:cs="Arial"/>
          <w:lang w:eastAsia="es-ES"/>
        </w:rPr>
        <w:t xml:space="preserve"> </w:t>
      </w:r>
    </w:p>
    <w:p w14:paraId="3EF144E6" w14:textId="77777777" w:rsidR="00112D05" w:rsidRPr="008E299F" w:rsidRDefault="00112D05" w:rsidP="00112D05">
      <w:pPr>
        <w:spacing w:after="120" w:line="240" w:lineRule="auto"/>
        <w:ind w:right="107"/>
        <w:jc w:val="both"/>
        <w:rPr>
          <w:rFonts w:ascii="Arial" w:eastAsia="Times New Roman" w:hAnsi="Arial" w:cs="Arial"/>
          <w:lang w:eastAsia="es-ES"/>
        </w:rPr>
      </w:pPr>
      <w:r>
        <w:rPr>
          <w:rFonts w:ascii="Arial" w:eastAsia="Times New Roman" w:hAnsi="Arial" w:cs="Arial"/>
          <w:lang w:eastAsia="es-ES"/>
        </w:rPr>
        <w:t xml:space="preserve">Igualmente </w:t>
      </w:r>
      <w:r w:rsidRPr="008E299F">
        <w:rPr>
          <w:rFonts w:ascii="Arial" w:eastAsia="Times New Roman" w:hAnsi="Arial" w:cs="Arial"/>
          <w:lang w:eastAsia="es-ES"/>
        </w:rPr>
        <w:t xml:space="preserve">es necesario </w:t>
      </w:r>
      <w:r>
        <w:rPr>
          <w:rFonts w:ascii="Arial" w:eastAsia="Times New Roman" w:hAnsi="Arial" w:cs="Arial"/>
          <w:lang w:eastAsia="es-ES"/>
        </w:rPr>
        <w:t xml:space="preserve">que la Unidad </w:t>
      </w:r>
      <w:r w:rsidRPr="008E299F">
        <w:rPr>
          <w:rFonts w:ascii="Arial" w:eastAsia="Times New Roman" w:hAnsi="Arial" w:cs="Arial"/>
          <w:lang w:eastAsia="es-ES"/>
        </w:rPr>
        <w:t>precis</w:t>
      </w:r>
      <w:r>
        <w:rPr>
          <w:rFonts w:ascii="Arial" w:eastAsia="Times New Roman" w:hAnsi="Arial" w:cs="Arial"/>
          <w:lang w:eastAsia="es-ES"/>
        </w:rPr>
        <w:t>e</w:t>
      </w:r>
      <w:r w:rsidRPr="008E299F">
        <w:rPr>
          <w:rFonts w:ascii="Arial" w:eastAsia="Times New Roman" w:hAnsi="Arial" w:cs="Arial"/>
          <w:lang w:eastAsia="es-ES"/>
        </w:rPr>
        <w:t xml:space="preserve"> el momento a partir del cual, se genera para el beneficiario la obligación de pagar intereses o sanciones en aquellos eventos en los que resulta procedente la restitución de los recursos y el momento a partir del cual se debe contar el término de quince (15) meses señalados en el artículo cuarto de la Resolución 1145 de 2021</w:t>
      </w:r>
      <w:r>
        <w:rPr>
          <w:rFonts w:ascii="Arial" w:eastAsia="Times New Roman" w:hAnsi="Arial" w:cs="Arial"/>
          <w:lang w:eastAsia="es-ES"/>
        </w:rPr>
        <w:t xml:space="preserve">. </w:t>
      </w:r>
    </w:p>
    <w:p w14:paraId="613E3188" w14:textId="6B125BD6" w:rsidR="008E299F" w:rsidRDefault="008E299F" w:rsidP="008E299F">
      <w:pPr>
        <w:spacing w:after="120" w:line="240" w:lineRule="auto"/>
        <w:ind w:right="107"/>
        <w:jc w:val="both"/>
        <w:rPr>
          <w:rFonts w:ascii="Arial" w:eastAsia="Times New Roman" w:hAnsi="Arial" w:cs="Arial"/>
          <w:lang w:eastAsia="es-ES"/>
        </w:rPr>
      </w:pPr>
      <w:r>
        <w:rPr>
          <w:rFonts w:ascii="Arial" w:eastAsia="Times New Roman" w:hAnsi="Arial" w:cs="Arial"/>
          <w:lang w:eastAsia="es-ES"/>
        </w:rPr>
        <w:t xml:space="preserve">Finalmente, con miras de </w:t>
      </w:r>
      <w:r w:rsidRPr="008E299F">
        <w:rPr>
          <w:rFonts w:ascii="Arial" w:eastAsia="Times New Roman" w:hAnsi="Arial" w:cs="Arial"/>
          <w:lang w:eastAsia="es-ES"/>
        </w:rPr>
        <w:t>facilitar la restitución de los recursos a los que están obligados los aportantes beneficiarios de los aportes estatales</w:t>
      </w:r>
      <w:r w:rsidR="003E6A7B">
        <w:rPr>
          <w:rFonts w:ascii="Arial" w:eastAsia="Times New Roman" w:hAnsi="Arial" w:cs="Arial"/>
          <w:lang w:eastAsia="es-ES"/>
        </w:rPr>
        <w:t xml:space="preserve"> es importante</w:t>
      </w:r>
      <w:r w:rsidRPr="008E299F">
        <w:rPr>
          <w:rFonts w:ascii="Arial" w:eastAsia="Times New Roman" w:hAnsi="Arial" w:cs="Arial"/>
          <w:lang w:eastAsia="es-ES"/>
        </w:rPr>
        <w:t xml:space="preserve"> indicar el </w:t>
      </w:r>
      <w:r w:rsidR="003E6A7B" w:rsidRPr="008E299F">
        <w:rPr>
          <w:rFonts w:ascii="Arial" w:eastAsia="Times New Roman" w:hAnsi="Arial" w:cs="Arial"/>
          <w:lang w:eastAsia="es-ES"/>
        </w:rPr>
        <w:t>término</w:t>
      </w:r>
      <w:r w:rsidR="003E6A7B">
        <w:rPr>
          <w:rFonts w:ascii="Arial" w:eastAsia="Times New Roman" w:hAnsi="Arial" w:cs="Arial"/>
          <w:lang w:eastAsia="es-ES"/>
        </w:rPr>
        <w:t xml:space="preserve"> del que disponen los beneficiarios </w:t>
      </w:r>
      <w:r w:rsidRPr="008E299F">
        <w:rPr>
          <w:rFonts w:ascii="Arial" w:eastAsia="Times New Roman" w:hAnsi="Arial" w:cs="Arial"/>
          <w:lang w:eastAsia="es-ES"/>
        </w:rPr>
        <w:t>para suscribir acuerdos de pago durante la etapa de fiscalización que adelante la UGPP.</w:t>
      </w:r>
    </w:p>
    <w:p w14:paraId="5B9834AA" w14:textId="77777777" w:rsidR="008E299F" w:rsidRPr="008E299F" w:rsidRDefault="008E299F" w:rsidP="008E299F">
      <w:pPr>
        <w:spacing w:after="120" w:line="240" w:lineRule="auto"/>
        <w:ind w:right="107"/>
        <w:jc w:val="both"/>
        <w:rPr>
          <w:rFonts w:ascii="Arial" w:eastAsia="Times New Roman" w:hAnsi="Arial" w:cs="Arial"/>
          <w:lang w:eastAsia="es-ES"/>
        </w:rPr>
      </w:pPr>
    </w:p>
    <w:p w14:paraId="142CB3DA" w14:textId="723CB2FC" w:rsidR="008C2EAF" w:rsidRPr="0081777B" w:rsidRDefault="0081777B" w:rsidP="0081777B">
      <w:pPr>
        <w:jc w:val="both"/>
        <w:rPr>
          <w:rFonts w:ascii="Arial" w:hAnsi="Arial" w:cs="Arial"/>
          <w:b/>
          <w:bCs/>
        </w:rPr>
      </w:pPr>
      <w:r>
        <w:rPr>
          <w:rFonts w:ascii="Arial" w:hAnsi="Arial" w:cs="Arial"/>
          <w:b/>
          <w:bCs/>
        </w:rPr>
        <w:t xml:space="preserve">3. </w:t>
      </w:r>
      <w:r w:rsidR="00361B99" w:rsidRPr="0081777B">
        <w:rPr>
          <w:rFonts w:ascii="Arial" w:hAnsi="Arial" w:cs="Arial"/>
          <w:b/>
          <w:bCs/>
        </w:rPr>
        <w:t xml:space="preserve">ÁMBITO DE APLICACIÓN Y SUJETOS A QUIÉN VA DIRIGIDO </w:t>
      </w:r>
    </w:p>
    <w:p w14:paraId="4CA2E9EF" w14:textId="00B7D89A" w:rsidR="005D6B20" w:rsidRPr="008E299F" w:rsidRDefault="0027069E" w:rsidP="0027069E">
      <w:pPr>
        <w:pStyle w:val="NormalWeb"/>
        <w:spacing w:before="0" w:beforeAutospacing="0" w:after="0" w:afterAutospacing="0"/>
        <w:jc w:val="both"/>
        <w:rPr>
          <w:rFonts w:ascii="Arial" w:hAnsi="Arial" w:cs="Arial"/>
          <w:sz w:val="22"/>
          <w:szCs w:val="22"/>
        </w:rPr>
      </w:pPr>
      <w:r w:rsidRPr="008E299F">
        <w:rPr>
          <w:rFonts w:ascii="Arial" w:hAnsi="Arial" w:cs="Arial"/>
          <w:sz w:val="22"/>
          <w:szCs w:val="22"/>
        </w:rPr>
        <w:t xml:space="preserve">El proyecto de </w:t>
      </w:r>
      <w:r w:rsidR="005D6B20" w:rsidRPr="008E299F">
        <w:rPr>
          <w:rFonts w:ascii="Arial" w:hAnsi="Arial" w:cs="Arial"/>
          <w:sz w:val="22"/>
          <w:szCs w:val="22"/>
        </w:rPr>
        <w:t>resolución</w:t>
      </w:r>
      <w:r w:rsidRPr="008E299F">
        <w:rPr>
          <w:rFonts w:ascii="Arial" w:hAnsi="Arial" w:cs="Arial"/>
          <w:sz w:val="22"/>
          <w:szCs w:val="22"/>
        </w:rPr>
        <w:t xml:space="preserve"> aplica</w:t>
      </w:r>
      <w:r w:rsidR="005D6B20" w:rsidRPr="008E299F">
        <w:rPr>
          <w:rFonts w:ascii="Arial" w:hAnsi="Arial" w:cs="Arial"/>
          <w:sz w:val="22"/>
          <w:szCs w:val="22"/>
        </w:rPr>
        <w:t xml:space="preserve"> </w:t>
      </w:r>
      <w:r w:rsidRPr="008E299F">
        <w:rPr>
          <w:rFonts w:ascii="Arial" w:hAnsi="Arial" w:cs="Arial"/>
          <w:sz w:val="22"/>
          <w:szCs w:val="22"/>
        </w:rPr>
        <w:t xml:space="preserve"> y </w:t>
      </w:r>
      <w:r w:rsidR="005D6B20" w:rsidRPr="008E299F">
        <w:rPr>
          <w:rFonts w:ascii="Arial" w:hAnsi="Arial" w:cs="Arial"/>
          <w:sz w:val="22"/>
          <w:szCs w:val="22"/>
        </w:rPr>
        <w:t>se encuentra dirigid</w:t>
      </w:r>
      <w:r w:rsidRPr="008E299F">
        <w:rPr>
          <w:rFonts w:ascii="Arial" w:hAnsi="Arial" w:cs="Arial"/>
          <w:sz w:val="22"/>
          <w:szCs w:val="22"/>
        </w:rPr>
        <w:t>a</w:t>
      </w:r>
      <w:r w:rsidR="005D6B20" w:rsidRPr="008E299F">
        <w:rPr>
          <w:rFonts w:ascii="Arial" w:hAnsi="Arial" w:cs="Arial"/>
          <w:sz w:val="22"/>
          <w:szCs w:val="22"/>
        </w:rPr>
        <w:t xml:space="preserve"> a las personas jurídicas, personas naturales, consorcios, uniones temporales, patrimonios autónomos declarantes de renta, establecimientos educativos formales, entidades sin ánimo de lucro  y en general,  a todos </w:t>
      </w:r>
      <w:r w:rsidR="005D6B20" w:rsidRPr="008E299F">
        <w:rPr>
          <w:rFonts w:ascii="Arial" w:hAnsi="Arial" w:cs="Arial"/>
          <w:sz w:val="22"/>
          <w:szCs w:val="22"/>
        </w:rPr>
        <w:lastRenderedPageBreak/>
        <w:t xml:space="preserve">los  beneficiarios de los programas de Apoyo al Empleo Formal </w:t>
      </w:r>
      <w:r w:rsidR="00FD4F7D" w:rsidRPr="008E299F">
        <w:rPr>
          <w:rFonts w:ascii="Arial" w:hAnsi="Arial" w:cs="Arial"/>
          <w:sz w:val="22"/>
          <w:szCs w:val="22"/>
        </w:rPr>
        <w:t>–</w:t>
      </w:r>
      <w:r w:rsidR="005D6B20" w:rsidRPr="008E299F">
        <w:rPr>
          <w:rFonts w:ascii="Arial" w:hAnsi="Arial" w:cs="Arial"/>
          <w:sz w:val="22"/>
          <w:szCs w:val="22"/>
        </w:rPr>
        <w:t xml:space="preserve"> PAEF</w:t>
      </w:r>
      <w:r w:rsidR="00FD4F7D" w:rsidRPr="008E299F">
        <w:rPr>
          <w:rFonts w:ascii="Arial" w:hAnsi="Arial" w:cs="Arial"/>
          <w:sz w:val="22"/>
          <w:szCs w:val="22"/>
        </w:rPr>
        <w:t xml:space="preserve">, </w:t>
      </w:r>
      <w:r w:rsidR="005D6B20" w:rsidRPr="008E299F">
        <w:rPr>
          <w:rFonts w:ascii="Arial" w:hAnsi="Arial" w:cs="Arial"/>
          <w:sz w:val="22"/>
          <w:szCs w:val="22"/>
        </w:rPr>
        <w:t xml:space="preserve"> Pago de la Prima de Servicios – PAP</w:t>
      </w:r>
      <w:r w:rsidR="00FD4F7D" w:rsidRPr="008E299F">
        <w:rPr>
          <w:rFonts w:ascii="Arial" w:hAnsi="Arial" w:cs="Arial"/>
          <w:sz w:val="22"/>
          <w:szCs w:val="22"/>
        </w:rPr>
        <w:t xml:space="preserve"> y </w:t>
      </w:r>
      <w:r w:rsidR="005D6B20" w:rsidRPr="008E299F">
        <w:rPr>
          <w:rFonts w:ascii="Arial" w:hAnsi="Arial" w:cs="Arial"/>
          <w:sz w:val="22"/>
          <w:szCs w:val="22"/>
        </w:rPr>
        <w:t xml:space="preserve"> </w:t>
      </w:r>
      <w:r w:rsidR="00FD4F7D" w:rsidRPr="008E299F">
        <w:rPr>
          <w:rFonts w:ascii="Arial" w:hAnsi="Arial" w:cs="Arial"/>
          <w:sz w:val="22"/>
          <w:szCs w:val="22"/>
        </w:rPr>
        <w:t xml:space="preserve">Programa Apoyo a las Empresas Afectadas por el Paro Nacional- AEAP, </w:t>
      </w:r>
      <w:r w:rsidR="005D6B20" w:rsidRPr="008E299F">
        <w:rPr>
          <w:rFonts w:ascii="Arial" w:hAnsi="Arial" w:cs="Arial"/>
          <w:sz w:val="22"/>
          <w:szCs w:val="22"/>
        </w:rPr>
        <w:t>así como a   las entidades involucradas en el desarrollo de éstos y a la Unidad</w:t>
      </w:r>
      <w:r w:rsidR="005D6B20" w:rsidRPr="008E299F">
        <w:rPr>
          <w:rFonts w:ascii="Arial" w:hAnsi="Arial" w:cs="Arial"/>
          <w:bCs/>
          <w:sz w:val="22"/>
          <w:szCs w:val="22"/>
        </w:rPr>
        <w:t xml:space="preserve"> de Gestión Pensional y Contribuciones Parafiscales UGPP</w:t>
      </w:r>
      <w:r w:rsidRPr="008E299F">
        <w:rPr>
          <w:rFonts w:ascii="Arial" w:hAnsi="Arial" w:cs="Arial"/>
          <w:sz w:val="22"/>
          <w:szCs w:val="22"/>
          <w:lang w:eastAsia="es-ES"/>
        </w:rPr>
        <w:t>, como entidad fiscalizadora.</w:t>
      </w:r>
      <w:r w:rsidRPr="008E299F">
        <w:rPr>
          <w:rFonts w:ascii="Arial" w:hAnsi="Arial" w:cs="Arial"/>
          <w:bCs/>
          <w:sz w:val="22"/>
          <w:szCs w:val="22"/>
        </w:rPr>
        <w:t xml:space="preserve"> </w:t>
      </w:r>
    </w:p>
    <w:p w14:paraId="2A24D94B" w14:textId="77777777" w:rsidR="0027069E" w:rsidRPr="008E299F" w:rsidRDefault="0027069E" w:rsidP="0027069E">
      <w:pPr>
        <w:jc w:val="both"/>
        <w:rPr>
          <w:rFonts w:ascii="Arial" w:hAnsi="Arial" w:cs="Arial"/>
        </w:rPr>
      </w:pPr>
    </w:p>
    <w:p w14:paraId="3B3D2E4D" w14:textId="2624ECFF" w:rsidR="00A671FD" w:rsidRPr="0081777B" w:rsidRDefault="0081777B" w:rsidP="0081777B">
      <w:pPr>
        <w:jc w:val="both"/>
        <w:rPr>
          <w:rFonts w:ascii="Arial" w:hAnsi="Arial" w:cs="Arial"/>
          <w:b/>
          <w:bCs/>
        </w:rPr>
      </w:pPr>
      <w:r>
        <w:rPr>
          <w:rFonts w:ascii="Arial" w:hAnsi="Arial" w:cs="Arial"/>
          <w:b/>
          <w:bCs/>
        </w:rPr>
        <w:t xml:space="preserve">4. </w:t>
      </w:r>
      <w:r w:rsidR="00F27B1B" w:rsidRPr="0081777B">
        <w:rPr>
          <w:rFonts w:ascii="Arial" w:hAnsi="Arial" w:cs="Arial"/>
          <w:b/>
          <w:bCs/>
        </w:rPr>
        <w:t xml:space="preserve">ESTUDIO PRELIMINAR DE </w:t>
      </w:r>
      <w:r w:rsidR="00361B99" w:rsidRPr="0081777B">
        <w:rPr>
          <w:rFonts w:ascii="Arial" w:hAnsi="Arial" w:cs="Arial"/>
          <w:b/>
          <w:bCs/>
        </w:rPr>
        <w:t xml:space="preserve">VIABILIDAD </w:t>
      </w:r>
      <w:r w:rsidR="00BB55E6" w:rsidRPr="0081777B">
        <w:rPr>
          <w:rFonts w:ascii="Arial" w:hAnsi="Arial" w:cs="Arial"/>
          <w:b/>
          <w:bCs/>
        </w:rPr>
        <w:t>JURÍDICA y</w:t>
      </w:r>
      <w:r w:rsidR="00337A62" w:rsidRPr="0081777B">
        <w:rPr>
          <w:rFonts w:ascii="Arial" w:hAnsi="Arial" w:cs="Arial"/>
          <w:b/>
          <w:bCs/>
        </w:rPr>
        <w:t xml:space="preserve"> TECNICA </w:t>
      </w:r>
    </w:p>
    <w:p w14:paraId="2ACD114A" w14:textId="29A461D6" w:rsidR="00CB62AC" w:rsidRPr="008E299F" w:rsidRDefault="00CB62AC" w:rsidP="0027069E">
      <w:pPr>
        <w:ind w:right="-93"/>
        <w:jc w:val="both"/>
        <w:rPr>
          <w:rFonts w:ascii="Arial" w:eastAsia="Times New Roman" w:hAnsi="Arial" w:cs="Arial"/>
          <w:b/>
          <w:bCs/>
          <w:iCs/>
        </w:rPr>
      </w:pPr>
      <w:r w:rsidRPr="008E299F">
        <w:rPr>
          <w:rFonts w:ascii="Arial" w:hAnsi="Arial" w:cs="Arial"/>
        </w:rPr>
        <w:t>El proyecto de</w:t>
      </w:r>
      <w:r w:rsidR="00906190" w:rsidRPr="008E299F">
        <w:rPr>
          <w:rFonts w:ascii="Arial" w:hAnsi="Arial" w:cs="Arial"/>
        </w:rPr>
        <w:t xml:space="preserve"> modificación de la</w:t>
      </w:r>
      <w:r w:rsidRPr="008E299F">
        <w:rPr>
          <w:rFonts w:ascii="Arial" w:hAnsi="Arial" w:cs="Arial"/>
        </w:rPr>
        <w:t xml:space="preserve"> </w:t>
      </w:r>
      <w:r w:rsidR="00FD4F7D" w:rsidRPr="008E299F">
        <w:rPr>
          <w:rFonts w:ascii="Arial" w:hAnsi="Arial" w:cs="Arial"/>
        </w:rPr>
        <w:t>Resolución 1145</w:t>
      </w:r>
      <w:r w:rsidR="00906190" w:rsidRPr="008E299F">
        <w:rPr>
          <w:rFonts w:ascii="Arial" w:hAnsi="Arial" w:cs="Arial"/>
        </w:rPr>
        <w:t xml:space="preserve"> del 8 de noviembre de 2021 </w:t>
      </w:r>
      <w:r w:rsidRPr="008E299F">
        <w:rPr>
          <w:rFonts w:ascii="Arial" w:hAnsi="Arial" w:cs="Arial"/>
        </w:rPr>
        <w:t>se expide con fundamento</w:t>
      </w:r>
      <w:r w:rsidR="00FD4645" w:rsidRPr="008E299F">
        <w:rPr>
          <w:rFonts w:ascii="Arial" w:hAnsi="Arial" w:cs="Arial"/>
        </w:rPr>
        <w:t xml:space="preserve"> en la Resolución 1610 del 24 de junio de 2022 expedida por el Ministerio de Hacienda y Crédito Público</w:t>
      </w:r>
      <w:r w:rsidR="0027069E" w:rsidRPr="008E299F">
        <w:rPr>
          <w:rFonts w:ascii="Arial" w:eastAsia="Times New Roman" w:hAnsi="Arial" w:cs="Arial"/>
          <w:color w:val="000000"/>
          <w:lang w:eastAsia="es-CO"/>
        </w:rPr>
        <w:t xml:space="preserve">, en concordancia con las facultades otorgadas en los </w:t>
      </w:r>
      <w:r w:rsidR="0027069E" w:rsidRPr="008E299F">
        <w:rPr>
          <w:rFonts w:ascii="Arial" w:hAnsi="Arial" w:cs="Arial"/>
        </w:rPr>
        <w:t>numerales</w:t>
      </w:r>
      <w:r w:rsidRPr="008E299F">
        <w:rPr>
          <w:rFonts w:ascii="Arial" w:eastAsia="Times New Roman" w:hAnsi="Arial" w:cs="Arial"/>
          <w:iCs/>
        </w:rPr>
        <w:t xml:space="preserve"> 9º y 11º del artículo 9 del Decreto 575 de 2013</w:t>
      </w:r>
      <w:r w:rsidR="0027069E" w:rsidRPr="008E299F">
        <w:rPr>
          <w:rFonts w:ascii="Arial" w:eastAsia="Times New Roman" w:hAnsi="Arial" w:cs="Arial"/>
          <w:iCs/>
        </w:rPr>
        <w:t>.</w:t>
      </w:r>
      <w:r w:rsidRPr="008E299F">
        <w:rPr>
          <w:rFonts w:ascii="Arial" w:eastAsia="Times New Roman" w:hAnsi="Arial" w:cs="Arial"/>
          <w:iCs/>
        </w:rPr>
        <w:t xml:space="preserve"> </w:t>
      </w:r>
    </w:p>
    <w:p w14:paraId="06EA7D46" w14:textId="289E81C1" w:rsidR="0033119D" w:rsidRPr="008E299F" w:rsidRDefault="0081777B" w:rsidP="0081777B">
      <w:pPr>
        <w:pStyle w:val="Textoindependiente"/>
        <w:autoSpaceDE w:val="0"/>
        <w:autoSpaceDN w:val="0"/>
        <w:spacing w:after="0"/>
        <w:jc w:val="both"/>
        <w:rPr>
          <w:rFonts w:ascii="Arial" w:hAnsi="Arial" w:cs="Arial"/>
          <w:b/>
          <w:sz w:val="22"/>
          <w:szCs w:val="22"/>
        </w:rPr>
      </w:pPr>
      <w:r>
        <w:rPr>
          <w:rFonts w:ascii="Arial" w:hAnsi="Arial" w:cs="Arial"/>
          <w:b/>
          <w:sz w:val="22"/>
          <w:szCs w:val="22"/>
        </w:rPr>
        <w:t xml:space="preserve">5. </w:t>
      </w:r>
      <w:r w:rsidR="0033119D" w:rsidRPr="008E299F">
        <w:rPr>
          <w:rFonts w:ascii="Arial" w:hAnsi="Arial" w:cs="Arial"/>
          <w:b/>
          <w:sz w:val="22"/>
          <w:szCs w:val="22"/>
        </w:rPr>
        <w:t>IMPACTO ECONÓMICO</w:t>
      </w:r>
    </w:p>
    <w:p w14:paraId="6CD48BD1" w14:textId="77777777" w:rsidR="0033119D" w:rsidRPr="008E299F" w:rsidRDefault="0033119D" w:rsidP="0033119D">
      <w:pPr>
        <w:pStyle w:val="Textoindependiente"/>
        <w:jc w:val="center"/>
        <w:rPr>
          <w:rFonts w:ascii="Arial" w:hAnsi="Arial" w:cs="Arial"/>
          <w:b/>
          <w:sz w:val="22"/>
          <w:szCs w:val="22"/>
        </w:rPr>
      </w:pPr>
    </w:p>
    <w:p w14:paraId="3104C345" w14:textId="77777777" w:rsidR="0033119D" w:rsidRPr="008E299F" w:rsidRDefault="0033119D" w:rsidP="0033119D">
      <w:pPr>
        <w:spacing w:after="0" w:line="240" w:lineRule="auto"/>
        <w:ind w:right="140"/>
        <w:jc w:val="both"/>
        <w:rPr>
          <w:rFonts w:ascii="Arial" w:hAnsi="Arial" w:cs="Arial"/>
          <w:shd w:val="clear" w:color="auto" w:fill="FFFFFF"/>
        </w:rPr>
      </w:pPr>
      <w:r w:rsidRPr="008E299F">
        <w:rPr>
          <w:rFonts w:ascii="Arial" w:hAnsi="Arial" w:cs="Arial"/>
        </w:rPr>
        <w:t>La presente propuesta normativa no genera</w:t>
      </w:r>
      <w:r w:rsidRPr="008E299F">
        <w:rPr>
          <w:rFonts w:ascii="Arial" w:hAnsi="Arial" w:cs="Arial"/>
          <w:shd w:val="clear" w:color="auto" w:fill="FFFFFF"/>
        </w:rPr>
        <w:t xml:space="preserve"> costos para la Unidad, por lo que no requiere de disponibilidad presupuestal previa para su expedición.</w:t>
      </w:r>
    </w:p>
    <w:p w14:paraId="1EC3E8BD" w14:textId="77777777" w:rsidR="0033119D" w:rsidRPr="008E299F" w:rsidRDefault="0033119D" w:rsidP="0033119D">
      <w:pPr>
        <w:spacing w:after="0" w:line="240" w:lineRule="auto"/>
        <w:ind w:right="140"/>
        <w:jc w:val="both"/>
        <w:rPr>
          <w:rFonts w:ascii="Arial" w:hAnsi="Arial" w:cs="Arial"/>
          <w:shd w:val="clear" w:color="auto" w:fill="FFFFFF"/>
        </w:rPr>
      </w:pPr>
    </w:p>
    <w:p w14:paraId="5CC456C0" w14:textId="77777777" w:rsidR="0033119D" w:rsidRPr="008E299F" w:rsidRDefault="0033119D" w:rsidP="0033119D">
      <w:pPr>
        <w:spacing w:after="0" w:line="240" w:lineRule="auto"/>
        <w:ind w:right="140"/>
        <w:jc w:val="both"/>
        <w:rPr>
          <w:rFonts w:ascii="Arial" w:hAnsi="Arial" w:cs="Arial"/>
          <w:shd w:val="clear" w:color="auto" w:fill="FFFFFF"/>
        </w:rPr>
      </w:pPr>
    </w:p>
    <w:p w14:paraId="7028EDB4" w14:textId="77777777" w:rsidR="0033119D" w:rsidRPr="008E299F" w:rsidRDefault="0033119D" w:rsidP="0081777B">
      <w:pPr>
        <w:spacing w:after="0" w:line="360" w:lineRule="auto"/>
        <w:rPr>
          <w:rFonts w:ascii="Arial" w:eastAsia="Times New Roman" w:hAnsi="Arial" w:cs="Arial"/>
          <w:b/>
          <w:color w:val="000000"/>
          <w:lang w:eastAsia="es-CO"/>
        </w:rPr>
      </w:pPr>
      <w:r w:rsidRPr="008E299F">
        <w:rPr>
          <w:rFonts w:ascii="Arial" w:eastAsia="Times New Roman" w:hAnsi="Arial" w:cs="Arial"/>
          <w:b/>
          <w:color w:val="000000"/>
          <w:lang w:eastAsia="es-CO"/>
        </w:rPr>
        <w:t>6.  IMPACTO AMBIENTAL O SOBRE EL PATRIMONIO CULTURAL DE LA NACIÓN</w:t>
      </w:r>
    </w:p>
    <w:p w14:paraId="2BB4F802" w14:textId="77777777" w:rsidR="003E6A7B" w:rsidRDefault="003E6A7B" w:rsidP="0033119D">
      <w:pPr>
        <w:spacing w:after="0" w:line="360" w:lineRule="auto"/>
        <w:rPr>
          <w:rFonts w:ascii="Arial" w:eastAsia="Times New Roman" w:hAnsi="Arial" w:cs="Arial"/>
          <w:color w:val="000000"/>
          <w:lang w:eastAsia="es-CO"/>
        </w:rPr>
      </w:pPr>
    </w:p>
    <w:p w14:paraId="6D340DA5" w14:textId="3A5A0D17" w:rsidR="0033119D" w:rsidRPr="008E299F" w:rsidRDefault="0033119D" w:rsidP="0033119D">
      <w:pPr>
        <w:spacing w:after="0" w:line="360" w:lineRule="auto"/>
        <w:rPr>
          <w:rFonts w:ascii="Arial" w:eastAsia="Times New Roman" w:hAnsi="Arial" w:cs="Arial"/>
          <w:color w:val="000000"/>
          <w:lang w:eastAsia="es-CO"/>
        </w:rPr>
      </w:pPr>
      <w:r w:rsidRPr="008E299F">
        <w:rPr>
          <w:rFonts w:ascii="Arial" w:eastAsia="Times New Roman" w:hAnsi="Arial" w:cs="Arial"/>
          <w:color w:val="000000"/>
          <w:lang w:eastAsia="es-CO"/>
        </w:rPr>
        <w:t>No aplica.</w:t>
      </w:r>
    </w:p>
    <w:p w14:paraId="00FC6B81" w14:textId="77777777" w:rsidR="0033119D" w:rsidRPr="008E299F" w:rsidRDefault="0033119D" w:rsidP="0033119D">
      <w:pPr>
        <w:spacing w:after="0" w:line="360" w:lineRule="auto"/>
        <w:rPr>
          <w:rFonts w:ascii="Arial" w:eastAsia="Times New Roman" w:hAnsi="Arial" w:cs="Arial"/>
          <w:color w:val="000000"/>
          <w:lang w:eastAsia="es-CO"/>
        </w:rPr>
      </w:pPr>
    </w:p>
    <w:p w14:paraId="6EB4F160" w14:textId="15983DF8" w:rsidR="0033119D" w:rsidRPr="008E299F" w:rsidRDefault="0081777B" w:rsidP="0081777B">
      <w:pPr>
        <w:spacing w:after="0" w:line="360" w:lineRule="auto"/>
        <w:rPr>
          <w:rFonts w:ascii="Arial" w:eastAsia="Times New Roman" w:hAnsi="Arial" w:cs="Arial"/>
          <w:b/>
          <w:color w:val="000000"/>
          <w:lang w:eastAsia="es-CO"/>
        </w:rPr>
      </w:pPr>
      <w:r w:rsidRPr="0081777B">
        <w:rPr>
          <w:rFonts w:ascii="Arial" w:eastAsia="Times New Roman" w:hAnsi="Arial" w:cs="Arial"/>
          <w:b/>
          <w:color w:val="000000"/>
          <w:lang w:eastAsia="es-CO"/>
        </w:rPr>
        <w:t>7.</w:t>
      </w:r>
      <w:r w:rsidR="0033119D" w:rsidRPr="0081777B">
        <w:rPr>
          <w:rFonts w:ascii="Arial" w:eastAsia="Times New Roman" w:hAnsi="Arial" w:cs="Arial"/>
          <w:b/>
          <w:color w:val="000000"/>
          <w:lang w:eastAsia="es-CO"/>
        </w:rPr>
        <w:t xml:space="preserve"> </w:t>
      </w:r>
      <w:r w:rsidR="0033119D" w:rsidRPr="008E299F">
        <w:rPr>
          <w:rFonts w:ascii="Arial" w:eastAsia="Times New Roman" w:hAnsi="Arial" w:cs="Arial"/>
          <w:b/>
          <w:color w:val="000000"/>
          <w:lang w:eastAsia="es-CO"/>
        </w:rPr>
        <w:t>CUMPLIMIENTO DE LOS REQUISITOS DE CONSULTA Y PUBLICIDAD</w:t>
      </w:r>
    </w:p>
    <w:p w14:paraId="2E9CF4F3" w14:textId="5BB0C022" w:rsidR="0033119D" w:rsidRPr="00112D05" w:rsidRDefault="0033119D" w:rsidP="0033119D">
      <w:pPr>
        <w:jc w:val="both"/>
        <w:rPr>
          <w:rFonts w:ascii="Arial" w:eastAsia="Calibri" w:hAnsi="Arial" w:cs="Arial"/>
        </w:rPr>
      </w:pPr>
      <w:r w:rsidRPr="00112D05">
        <w:rPr>
          <w:rFonts w:ascii="Arial" w:eastAsia="Times New Roman" w:hAnsi="Arial" w:cs="Arial"/>
        </w:rPr>
        <w:t xml:space="preserve">El proyecto de resolución se publicó en la página de la Unidad Administrativa Especial de Gestión Pensional y Contribuciones Parafiscales-de la Protección Social- UGPP, en el link </w:t>
      </w:r>
      <w:hyperlink r:id="rId7" w:history="1">
        <w:r w:rsidRPr="00112D05">
          <w:rPr>
            <w:rFonts w:ascii="Arial" w:eastAsia="Calibri" w:hAnsi="Arial" w:cs="Arial"/>
            <w:u w:val="single"/>
          </w:rPr>
          <w:t>https://www.ugpp.gov.co/nuestra-entidad/proyectos-normativa</w:t>
        </w:r>
      </w:hyperlink>
      <w:r w:rsidRPr="00112D05">
        <w:rPr>
          <w:rFonts w:ascii="Arial" w:eastAsia="Calibri" w:hAnsi="Arial" w:cs="Arial"/>
        </w:rPr>
        <w:t xml:space="preserve">, </w:t>
      </w:r>
      <w:r w:rsidRPr="00112D05">
        <w:rPr>
          <w:rFonts w:ascii="Arial" w:eastAsia="Times New Roman" w:hAnsi="Arial" w:cs="Arial"/>
        </w:rPr>
        <w:t xml:space="preserve">del  </w:t>
      </w:r>
      <w:r w:rsidR="00112D05" w:rsidRPr="00112D05">
        <w:rPr>
          <w:rFonts w:ascii="Arial" w:eastAsia="Times New Roman" w:hAnsi="Arial" w:cs="Arial"/>
        </w:rPr>
        <w:t>8  al 1</w:t>
      </w:r>
      <w:r w:rsidR="0081777B">
        <w:rPr>
          <w:rFonts w:ascii="Arial" w:eastAsia="Times New Roman" w:hAnsi="Arial" w:cs="Arial"/>
        </w:rPr>
        <w:t>4</w:t>
      </w:r>
      <w:r w:rsidR="00112D05" w:rsidRPr="00112D05">
        <w:rPr>
          <w:rFonts w:ascii="Arial" w:eastAsia="Times New Roman" w:hAnsi="Arial" w:cs="Arial"/>
        </w:rPr>
        <w:t xml:space="preserve"> de julio de 2022</w:t>
      </w:r>
      <w:r w:rsidRPr="00112D05">
        <w:rPr>
          <w:rFonts w:ascii="Arial" w:eastAsia="Times New Roman" w:hAnsi="Arial" w:cs="Arial"/>
        </w:rPr>
        <w:t xml:space="preserve">, en cumplimiento de lo dispuesto en el </w:t>
      </w:r>
      <w:r w:rsidRPr="00112D05">
        <w:rPr>
          <w:rFonts w:ascii="Arial" w:eastAsia="Calibri" w:hAnsi="Arial" w:cs="Arial"/>
        </w:rPr>
        <w:t>Decreto 1081 de 2015 modificado por el Decreto 270 de 2017 y artículos 3º núm.9º y 8º núm. 8º del Código de Procedimiento Administrativo y de lo Contencioso Administrativo y Resolución 609 de abril 12 de 2017.</w:t>
      </w:r>
    </w:p>
    <w:p w14:paraId="157552CD" w14:textId="50F644B5" w:rsidR="0027069E" w:rsidRPr="00112D05" w:rsidRDefault="0027069E" w:rsidP="00361B99">
      <w:pPr>
        <w:pStyle w:val="Prrafodelista"/>
        <w:jc w:val="both"/>
        <w:rPr>
          <w:rFonts w:ascii="Arial" w:hAnsi="Arial" w:cs="Arial"/>
          <w:b/>
          <w:bCs/>
        </w:rPr>
      </w:pPr>
    </w:p>
    <w:p w14:paraId="6B4EC274" w14:textId="77777777" w:rsidR="00E92021" w:rsidRPr="008E299F" w:rsidRDefault="00E92021" w:rsidP="0033119D">
      <w:pPr>
        <w:jc w:val="both"/>
        <w:rPr>
          <w:rFonts w:ascii="Arial" w:hAnsi="Arial" w:cs="Arial"/>
        </w:rPr>
      </w:pPr>
    </w:p>
    <w:p w14:paraId="349FE4D3" w14:textId="77777777" w:rsidR="0033119D" w:rsidRPr="008E299F" w:rsidRDefault="0033119D" w:rsidP="0033119D">
      <w:pPr>
        <w:spacing w:before="100" w:beforeAutospacing="1" w:after="100" w:afterAutospacing="1" w:line="240" w:lineRule="auto"/>
        <w:contextualSpacing/>
        <w:jc w:val="both"/>
        <w:rPr>
          <w:rFonts w:ascii="Arial" w:hAnsi="Arial" w:cs="Arial"/>
          <w:b/>
          <w:bCs/>
        </w:rPr>
      </w:pPr>
      <w:r w:rsidRPr="008E299F">
        <w:rPr>
          <w:rFonts w:ascii="Arial" w:hAnsi="Arial" w:cs="Arial"/>
          <w:b/>
          <w:bCs/>
        </w:rPr>
        <w:t>MARCELA GOMEZ MARTINEZ</w:t>
      </w:r>
    </w:p>
    <w:p w14:paraId="751A4D3D" w14:textId="77777777" w:rsidR="0033119D" w:rsidRPr="008E299F" w:rsidRDefault="0033119D" w:rsidP="0033119D">
      <w:pPr>
        <w:spacing w:before="100" w:beforeAutospacing="1" w:after="100" w:afterAutospacing="1" w:line="240" w:lineRule="auto"/>
        <w:contextualSpacing/>
        <w:jc w:val="both"/>
        <w:rPr>
          <w:rFonts w:ascii="Arial" w:hAnsi="Arial" w:cs="Arial"/>
        </w:rPr>
      </w:pPr>
      <w:r w:rsidRPr="008E299F">
        <w:rPr>
          <w:rFonts w:ascii="Arial" w:hAnsi="Arial" w:cs="Arial"/>
        </w:rPr>
        <w:t>Directora Jurídica-UGPP</w:t>
      </w:r>
    </w:p>
    <w:p w14:paraId="0D120E28" w14:textId="77777777" w:rsidR="0033119D" w:rsidRPr="008E299F" w:rsidRDefault="0033119D" w:rsidP="0033119D">
      <w:pPr>
        <w:spacing w:before="100" w:beforeAutospacing="1" w:after="100" w:afterAutospacing="1" w:line="240" w:lineRule="auto"/>
        <w:contextualSpacing/>
        <w:jc w:val="both"/>
        <w:rPr>
          <w:rFonts w:ascii="Arial" w:hAnsi="Arial" w:cs="Arial"/>
        </w:rPr>
      </w:pPr>
    </w:p>
    <w:p w14:paraId="1AF546DF" w14:textId="597F83E7" w:rsidR="00E92021" w:rsidRDefault="00E92021" w:rsidP="003E6A7B">
      <w:pPr>
        <w:jc w:val="both"/>
        <w:rPr>
          <w:rFonts w:ascii="Arial" w:hAnsi="Arial" w:cs="Arial"/>
        </w:rPr>
      </w:pPr>
    </w:p>
    <w:p w14:paraId="0BF42B3C" w14:textId="180AB316" w:rsidR="003E6A7B" w:rsidRPr="003E6A7B" w:rsidRDefault="003E6A7B" w:rsidP="003E6A7B">
      <w:pPr>
        <w:jc w:val="both"/>
        <w:rPr>
          <w:rFonts w:ascii="Arial" w:hAnsi="Arial" w:cs="Arial"/>
          <w:sz w:val="12"/>
          <w:szCs w:val="12"/>
        </w:rPr>
      </w:pPr>
      <w:r w:rsidRPr="003E6A7B">
        <w:rPr>
          <w:rFonts w:ascii="Arial" w:hAnsi="Arial" w:cs="Arial"/>
          <w:sz w:val="12"/>
          <w:szCs w:val="12"/>
        </w:rPr>
        <w:t>Elaboro: Maribel Gonzalez Benavides</w:t>
      </w:r>
    </w:p>
    <w:sectPr w:rsidR="003E6A7B" w:rsidRPr="003E6A7B">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A83F9C" w14:textId="77777777" w:rsidR="00577429" w:rsidRDefault="00577429" w:rsidP="00CD02A6">
      <w:pPr>
        <w:spacing w:after="0" w:line="240" w:lineRule="auto"/>
      </w:pPr>
      <w:r>
        <w:separator/>
      </w:r>
    </w:p>
  </w:endnote>
  <w:endnote w:type="continuationSeparator" w:id="0">
    <w:p w14:paraId="7AE465E7" w14:textId="77777777" w:rsidR="00577429" w:rsidRDefault="00577429" w:rsidP="00CD02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795773" w14:textId="77777777" w:rsidR="00577429" w:rsidRDefault="00577429" w:rsidP="00CD02A6">
      <w:pPr>
        <w:spacing w:after="0" w:line="240" w:lineRule="auto"/>
      </w:pPr>
      <w:r>
        <w:separator/>
      </w:r>
    </w:p>
  </w:footnote>
  <w:footnote w:type="continuationSeparator" w:id="0">
    <w:p w14:paraId="43FB82BA" w14:textId="77777777" w:rsidR="00577429" w:rsidRDefault="00577429" w:rsidP="00CD02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40491"/>
    <w:multiLevelType w:val="hybridMultilevel"/>
    <w:tmpl w:val="43625DB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D697424"/>
    <w:multiLevelType w:val="hybridMultilevel"/>
    <w:tmpl w:val="935EE484"/>
    <w:lvl w:ilvl="0" w:tplc="240A000F">
      <w:start w:val="3"/>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37190603"/>
    <w:multiLevelType w:val="hybridMultilevel"/>
    <w:tmpl w:val="CBAE563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6A0B6510"/>
    <w:multiLevelType w:val="hybridMultilevel"/>
    <w:tmpl w:val="953464A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672295591">
    <w:abstractNumId w:val="3"/>
  </w:num>
  <w:num w:numId="2" w16cid:durableId="1757943429">
    <w:abstractNumId w:val="2"/>
  </w:num>
  <w:num w:numId="3" w16cid:durableId="1470705049">
    <w:abstractNumId w:val="1"/>
  </w:num>
  <w:num w:numId="4" w16cid:durableId="9870524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D91"/>
    <w:rsid w:val="00027258"/>
    <w:rsid w:val="00036BB2"/>
    <w:rsid w:val="00093C33"/>
    <w:rsid w:val="000A34D9"/>
    <w:rsid w:val="000F48F6"/>
    <w:rsid w:val="00112D05"/>
    <w:rsid w:val="00133A2B"/>
    <w:rsid w:val="00136637"/>
    <w:rsid w:val="001724C7"/>
    <w:rsid w:val="00196E1F"/>
    <w:rsid w:val="001F0C9A"/>
    <w:rsid w:val="00202325"/>
    <w:rsid w:val="002254A4"/>
    <w:rsid w:val="0026705B"/>
    <w:rsid w:val="0027069E"/>
    <w:rsid w:val="002D3EF2"/>
    <w:rsid w:val="0033119D"/>
    <w:rsid w:val="00337A62"/>
    <w:rsid w:val="00341CF9"/>
    <w:rsid w:val="00350E79"/>
    <w:rsid w:val="00361B99"/>
    <w:rsid w:val="003C6753"/>
    <w:rsid w:val="003E1605"/>
    <w:rsid w:val="003E6A7B"/>
    <w:rsid w:val="003F4211"/>
    <w:rsid w:val="00481324"/>
    <w:rsid w:val="0049387D"/>
    <w:rsid w:val="004C4A6C"/>
    <w:rsid w:val="00502C22"/>
    <w:rsid w:val="00553D75"/>
    <w:rsid w:val="00575D91"/>
    <w:rsid w:val="00577429"/>
    <w:rsid w:val="005A70FE"/>
    <w:rsid w:val="005D6B20"/>
    <w:rsid w:val="00614F83"/>
    <w:rsid w:val="00632972"/>
    <w:rsid w:val="006847B4"/>
    <w:rsid w:val="006E220A"/>
    <w:rsid w:val="0075183B"/>
    <w:rsid w:val="007612F1"/>
    <w:rsid w:val="00781EB9"/>
    <w:rsid w:val="007D2A5B"/>
    <w:rsid w:val="007D79AB"/>
    <w:rsid w:val="0081777B"/>
    <w:rsid w:val="00843E66"/>
    <w:rsid w:val="008708E8"/>
    <w:rsid w:val="008C2EAF"/>
    <w:rsid w:val="008E299F"/>
    <w:rsid w:val="00906190"/>
    <w:rsid w:val="009926EE"/>
    <w:rsid w:val="009D6F0D"/>
    <w:rsid w:val="00A31A34"/>
    <w:rsid w:val="00A671FD"/>
    <w:rsid w:val="00A865AD"/>
    <w:rsid w:val="00AD7E72"/>
    <w:rsid w:val="00AE79C8"/>
    <w:rsid w:val="00AF736A"/>
    <w:rsid w:val="00BB2477"/>
    <w:rsid w:val="00BB55E6"/>
    <w:rsid w:val="00BC475D"/>
    <w:rsid w:val="00BE0515"/>
    <w:rsid w:val="00BE51FF"/>
    <w:rsid w:val="00C15145"/>
    <w:rsid w:val="00C86AB2"/>
    <w:rsid w:val="00C932E3"/>
    <w:rsid w:val="00CB62AC"/>
    <w:rsid w:val="00CC1BCA"/>
    <w:rsid w:val="00CD02A6"/>
    <w:rsid w:val="00DC68FB"/>
    <w:rsid w:val="00E0620C"/>
    <w:rsid w:val="00E144D2"/>
    <w:rsid w:val="00E76053"/>
    <w:rsid w:val="00E869FA"/>
    <w:rsid w:val="00E92021"/>
    <w:rsid w:val="00EA60CD"/>
    <w:rsid w:val="00EB4B02"/>
    <w:rsid w:val="00F27B1B"/>
    <w:rsid w:val="00F361ED"/>
    <w:rsid w:val="00FA5A52"/>
    <w:rsid w:val="00FD4645"/>
    <w:rsid w:val="00FD4F7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9C58F"/>
  <w15:chartTrackingRefBased/>
  <w15:docId w15:val="{B8DE077C-EC38-4400-BEAB-864BF006D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663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575D91"/>
    <w:pPr>
      <w:ind w:left="720"/>
      <w:contextualSpacing/>
    </w:pPr>
  </w:style>
  <w:style w:type="paragraph" w:styleId="Piedepgina">
    <w:name w:val="footer"/>
    <w:basedOn w:val="Normal"/>
    <w:link w:val="PiedepginaCar"/>
    <w:uiPriority w:val="99"/>
    <w:rsid w:val="00575D91"/>
    <w:pPr>
      <w:tabs>
        <w:tab w:val="center" w:pos="4252"/>
        <w:tab w:val="right" w:pos="8504"/>
      </w:tabs>
      <w:spacing w:after="0" w:line="240" w:lineRule="auto"/>
    </w:pPr>
    <w:rPr>
      <w:rFonts w:ascii="Arial Narrow" w:eastAsia="MS Mincho" w:hAnsi="Arial Narrow" w:cs="Times New Roman"/>
      <w:sz w:val="24"/>
      <w:szCs w:val="24"/>
      <w:lang w:val="es-ES" w:eastAsia="es-ES"/>
    </w:rPr>
  </w:style>
  <w:style w:type="character" w:customStyle="1" w:styleId="PiedepginaCar">
    <w:name w:val="Pie de página Car"/>
    <w:basedOn w:val="Fuentedeprrafopredeter"/>
    <w:link w:val="Piedepgina"/>
    <w:uiPriority w:val="99"/>
    <w:rsid w:val="00575D91"/>
    <w:rPr>
      <w:rFonts w:ascii="Arial Narrow" w:eastAsia="MS Mincho" w:hAnsi="Arial Narrow" w:cs="Times New Roman"/>
      <w:sz w:val="24"/>
      <w:szCs w:val="24"/>
      <w:lang w:val="es-ES" w:eastAsia="es-ES"/>
    </w:rPr>
  </w:style>
  <w:style w:type="paragraph" w:styleId="NormalWeb">
    <w:name w:val="Normal (Web)"/>
    <w:basedOn w:val="Normal"/>
    <w:uiPriority w:val="99"/>
    <w:unhideWhenUsed/>
    <w:rsid w:val="00CD02A6"/>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Textonotapie">
    <w:name w:val="footnote text"/>
    <w:basedOn w:val="Normal"/>
    <w:link w:val="TextonotapieCar"/>
    <w:uiPriority w:val="99"/>
    <w:semiHidden/>
    <w:unhideWhenUsed/>
    <w:rsid w:val="00CD02A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D02A6"/>
    <w:rPr>
      <w:sz w:val="20"/>
      <w:szCs w:val="20"/>
    </w:rPr>
  </w:style>
  <w:style w:type="character" w:styleId="Refdenotaalpie">
    <w:name w:val="footnote reference"/>
    <w:basedOn w:val="Fuentedeprrafopredeter"/>
    <w:uiPriority w:val="99"/>
    <w:semiHidden/>
    <w:unhideWhenUsed/>
    <w:rsid w:val="00CD02A6"/>
    <w:rPr>
      <w:vertAlign w:val="superscript"/>
    </w:rPr>
  </w:style>
  <w:style w:type="paragraph" w:styleId="Textoindependiente">
    <w:name w:val="Body Text"/>
    <w:basedOn w:val="Normal"/>
    <w:link w:val="TextoindependienteCar"/>
    <w:rsid w:val="00502C22"/>
    <w:pPr>
      <w:spacing w:after="120" w:line="240" w:lineRule="auto"/>
    </w:pPr>
    <w:rPr>
      <w:rFonts w:ascii="Arial Narrow" w:eastAsia="MS Mincho" w:hAnsi="Arial Narrow" w:cs="Times New Roman"/>
      <w:sz w:val="24"/>
      <w:szCs w:val="24"/>
      <w:lang w:val="es-ES" w:eastAsia="es-ES"/>
    </w:rPr>
  </w:style>
  <w:style w:type="character" w:customStyle="1" w:styleId="TextoindependienteCar">
    <w:name w:val="Texto independiente Car"/>
    <w:basedOn w:val="Fuentedeprrafopredeter"/>
    <w:link w:val="Textoindependiente"/>
    <w:rsid w:val="00502C22"/>
    <w:rPr>
      <w:rFonts w:ascii="Arial Narrow" w:eastAsia="MS Mincho" w:hAnsi="Arial Narrow" w:cs="Times New Roman"/>
      <w:sz w:val="24"/>
      <w:szCs w:val="24"/>
      <w:lang w:val="es-ES" w:eastAsia="es-ES"/>
    </w:rPr>
  </w:style>
  <w:style w:type="paragraph" w:customStyle="1" w:styleId="Default">
    <w:name w:val="Default"/>
    <w:rsid w:val="00202325"/>
    <w:pPr>
      <w:autoSpaceDE w:val="0"/>
      <w:autoSpaceDN w:val="0"/>
      <w:adjustRightInd w:val="0"/>
      <w:spacing w:after="0" w:line="240" w:lineRule="auto"/>
    </w:pPr>
    <w:rPr>
      <w:rFonts w:ascii="Arial" w:eastAsia="Times New Roman" w:hAnsi="Arial" w:cs="Arial"/>
      <w:color w:val="000000"/>
      <w:sz w:val="24"/>
      <w:szCs w:val="24"/>
      <w:lang w:eastAsia="es-CO"/>
    </w:rPr>
  </w:style>
  <w:style w:type="character" w:styleId="Refdecomentario">
    <w:name w:val="annotation reference"/>
    <w:basedOn w:val="Fuentedeprrafopredeter"/>
    <w:uiPriority w:val="99"/>
    <w:semiHidden/>
    <w:unhideWhenUsed/>
    <w:rsid w:val="00112D05"/>
    <w:rPr>
      <w:sz w:val="16"/>
      <w:szCs w:val="16"/>
    </w:rPr>
  </w:style>
  <w:style w:type="paragraph" w:styleId="Textocomentario">
    <w:name w:val="annotation text"/>
    <w:basedOn w:val="Normal"/>
    <w:link w:val="TextocomentarioCar"/>
    <w:uiPriority w:val="99"/>
    <w:semiHidden/>
    <w:unhideWhenUsed/>
    <w:rsid w:val="00112D0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12D05"/>
    <w:rPr>
      <w:sz w:val="20"/>
      <w:szCs w:val="20"/>
    </w:rPr>
  </w:style>
  <w:style w:type="paragraph" w:styleId="Asuntodelcomentario">
    <w:name w:val="annotation subject"/>
    <w:basedOn w:val="Textocomentario"/>
    <w:next w:val="Textocomentario"/>
    <w:link w:val="AsuntodelcomentarioCar"/>
    <w:uiPriority w:val="99"/>
    <w:semiHidden/>
    <w:unhideWhenUsed/>
    <w:rsid w:val="00112D05"/>
    <w:rPr>
      <w:b/>
      <w:bCs/>
    </w:rPr>
  </w:style>
  <w:style w:type="character" w:customStyle="1" w:styleId="AsuntodelcomentarioCar">
    <w:name w:val="Asunto del comentario Car"/>
    <w:basedOn w:val="TextocomentarioCar"/>
    <w:link w:val="Asuntodelcomentario"/>
    <w:uiPriority w:val="99"/>
    <w:semiHidden/>
    <w:rsid w:val="00112D05"/>
    <w:rPr>
      <w:b/>
      <w:bCs/>
      <w:sz w:val="20"/>
      <w:szCs w:val="20"/>
    </w:rPr>
  </w:style>
  <w:style w:type="paragraph" w:styleId="Revisin">
    <w:name w:val="Revision"/>
    <w:hidden/>
    <w:uiPriority w:val="99"/>
    <w:semiHidden/>
    <w:rsid w:val="00112D0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8091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gpp.gov.co/nuestra-entidad/proyectos-normativ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710</Words>
  <Characters>3908</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BERENICE CORTES RINCON</dc:creator>
  <cp:keywords/>
  <dc:description/>
  <cp:lastModifiedBy>LUZ ANGELICA SERNA CAMACHO</cp:lastModifiedBy>
  <cp:revision>3</cp:revision>
  <dcterms:created xsi:type="dcterms:W3CDTF">2022-07-08T21:48:00Z</dcterms:created>
  <dcterms:modified xsi:type="dcterms:W3CDTF">2022-07-08T21:52:00Z</dcterms:modified>
</cp:coreProperties>
</file>