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FE" w:rsidRPr="00DD4A0E" w:rsidRDefault="00283E0D" w:rsidP="006E2328">
      <w:pPr>
        <w:pStyle w:val="NormalWeb"/>
        <w:pageBreakBefore/>
        <w:spacing w:before="0" w:beforeAutospacing="0" w:after="0" w:line="360" w:lineRule="auto"/>
        <w:jc w:val="center"/>
        <w:rPr>
          <w:rFonts w:ascii="Arial Narrow" w:hAnsi="Arial Narrow" w:cs="Arial"/>
          <w:b/>
          <w:sz w:val="22"/>
          <w:szCs w:val="22"/>
        </w:rPr>
      </w:pPr>
      <w:bookmarkStart w:id="0" w:name="_GoBack"/>
      <w:bookmarkEnd w:id="0"/>
      <w:permStart w:id="1150049774" w:edGrp="everyone"/>
      <w:r w:rsidRPr="00DD4A0E">
        <w:rPr>
          <w:rFonts w:ascii="Arial Narrow" w:hAnsi="Arial Narrow" w:cs="Arial"/>
          <w:b/>
          <w:color w:val="000000"/>
          <w:sz w:val="22"/>
          <w:szCs w:val="22"/>
        </w:rPr>
        <w:t xml:space="preserve">MEMORIA JUSTIFICATIVA-RESOLUCIÓN </w:t>
      </w:r>
      <w:r w:rsidR="00DD4A0E">
        <w:rPr>
          <w:rFonts w:ascii="Arial Narrow" w:hAnsi="Arial Narrow" w:cs="Arial"/>
          <w:b/>
          <w:color w:val="000000"/>
          <w:sz w:val="22"/>
          <w:szCs w:val="22"/>
        </w:rPr>
        <w:t xml:space="preserve">1400 DEL 26 DE AGOSTO </w:t>
      </w:r>
      <w:r w:rsidRPr="00DD4A0E">
        <w:rPr>
          <w:rFonts w:ascii="Arial Narrow" w:hAnsi="Arial Narrow" w:cs="Arial"/>
          <w:b/>
          <w:color w:val="000000"/>
          <w:sz w:val="22"/>
          <w:szCs w:val="22"/>
        </w:rPr>
        <w:t>DE 2019</w:t>
      </w:r>
      <w:permEnd w:id="1150049774"/>
    </w:p>
    <w:p w:rsidR="007351FE" w:rsidRPr="00DD4A0E" w:rsidRDefault="007351FE" w:rsidP="006E2328">
      <w:pPr>
        <w:spacing w:after="0" w:line="360" w:lineRule="auto"/>
        <w:rPr>
          <w:rFonts w:ascii="Arial Narrow" w:hAnsi="Arial Narrow" w:cs="Arial"/>
        </w:rPr>
      </w:pPr>
    </w:p>
    <w:p w:rsidR="007351FE" w:rsidRPr="00DD4A0E" w:rsidRDefault="007351FE" w:rsidP="006E2328">
      <w:pPr>
        <w:spacing w:after="0" w:line="360" w:lineRule="auto"/>
        <w:rPr>
          <w:rFonts w:ascii="Arial Narrow" w:eastAsia="Times New Roman" w:hAnsi="Arial Narrow" w:cs="Arial"/>
          <w:color w:val="000000"/>
          <w:lang w:eastAsia="es-CO"/>
        </w:rPr>
      </w:pPr>
    </w:p>
    <w:tbl>
      <w:tblPr>
        <w:tblStyle w:val="Tablaconcuadrcula"/>
        <w:tblW w:w="0" w:type="auto"/>
        <w:tblLook w:val="04A0" w:firstRow="1" w:lastRow="0" w:firstColumn="1" w:lastColumn="0" w:noHBand="0" w:noVBand="1"/>
      </w:tblPr>
      <w:tblGrid>
        <w:gridCol w:w="4489"/>
        <w:gridCol w:w="4489"/>
      </w:tblGrid>
      <w:tr w:rsidR="00283E0D" w:rsidRPr="00DD4A0E" w:rsidTr="00283E0D">
        <w:tc>
          <w:tcPr>
            <w:tcW w:w="4489" w:type="dxa"/>
          </w:tcPr>
          <w:p w:rsidR="00283E0D" w:rsidRPr="00C807B9" w:rsidRDefault="00283E0D" w:rsidP="00C807B9">
            <w:pPr>
              <w:rPr>
                <w:rFonts w:ascii="Arial Narrow" w:eastAsia="Times New Roman" w:hAnsi="Arial Narrow" w:cs="Arial"/>
                <w:b/>
                <w:color w:val="000000"/>
                <w:lang w:eastAsia="es-CO"/>
              </w:rPr>
            </w:pPr>
            <w:r w:rsidRPr="00C807B9">
              <w:rPr>
                <w:rFonts w:ascii="Arial Narrow" w:eastAsia="Times New Roman" w:hAnsi="Arial Narrow" w:cs="Arial"/>
                <w:b/>
                <w:color w:val="000000"/>
                <w:lang w:eastAsia="es-CO"/>
              </w:rPr>
              <w:t>SUBDIRECCIÓN JURÍDICA DE PARAFISCALES</w:t>
            </w:r>
          </w:p>
        </w:tc>
        <w:tc>
          <w:tcPr>
            <w:tcW w:w="4489" w:type="dxa"/>
          </w:tcPr>
          <w:p w:rsidR="00283E0D" w:rsidRPr="00DD4A0E" w:rsidRDefault="00E05162" w:rsidP="00C807B9">
            <w:pPr>
              <w:rPr>
                <w:rFonts w:ascii="Arial Narrow" w:eastAsia="Times New Roman" w:hAnsi="Arial Narrow" w:cs="Arial"/>
                <w:color w:val="000000"/>
                <w:lang w:eastAsia="es-CO"/>
              </w:rPr>
            </w:pPr>
            <w:r w:rsidRPr="00DD4A0E">
              <w:rPr>
                <w:rFonts w:ascii="Arial Narrow" w:eastAsia="Times New Roman" w:hAnsi="Arial Narrow" w:cs="Arial"/>
              </w:rPr>
              <w:t>Unidad Administrativa Especial de Gestión</w:t>
            </w:r>
            <w:r w:rsidR="00B836CC" w:rsidRPr="00DD4A0E">
              <w:rPr>
                <w:rFonts w:ascii="Arial Narrow" w:eastAsia="Times New Roman" w:hAnsi="Arial Narrow" w:cs="Arial"/>
              </w:rPr>
              <w:t xml:space="preserve"> </w:t>
            </w:r>
            <w:r w:rsidRPr="00DD4A0E">
              <w:rPr>
                <w:rFonts w:ascii="Arial Narrow" w:eastAsia="Times New Roman" w:hAnsi="Arial Narrow" w:cs="Arial"/>
              </w:rPr>
              <w:t>Pensional y Contribuciones Parafiscales-de la Protección Social- UGPP</w:t>
            </w:r>
          </w:p>
        </w:tc>
      </w:tr>
      <w:tr w:rsidR="00283E0D" w:rsidRPr="00DD4A0E" w:rsidTr="00283E0D">
        <w:tc>
          <w:tcPr>
            <w:tcW w:w="4489" w:type="dxa"/>
          </w:tcPr>
          <w:p w:rsidR="00283E0D" w:rsidRPr="00DD4A0E" w:rsidRDefault="00283E0D" w:rsidP="006E2328">
            <w:pPr>
              <w:spacing w:line="360" w:lineRule="auto"/>
              <w:rPr>
                <w:rFonts w:ascii="Arial Narrow" w:eastAsia="Times New Roman" w:hAnsi="Arial Narrow" w:cs="Arial"/>
                <w:color w:val="000000"/>
                <w:lang w:eastAsia="es-CO"/>
              </w:rPr>
            </w:pPr>
            <w:r w:rsidRPr="00DD4A0E">
              <w:rPr>
                <w:rFonts w:ascii="Arial Narrow" w:eastAsia="Times New Roman" w:hAnsi="Arial Narrow" w:cs="Arial"/>
                <w:color w:val="000000"/>
                <w:lang w:eastAsia="es-CO"/>
              </w:rPr>
              <w:t>Fecha:</w:t>
            </w:r>
          </w:p>
        </w:tc>
        <w:tc>
          <w:tcPr>
            <w:tcW w:w="4489" w:type="dxa"/>
          </w:tcPr>
          <w:p w:rsidR="00283E0D" w:rsidRPr="00DD4A0E" w:rsidRDefault="00C807B9" w:rsidP="00C807B9">
            <w:pPr>
              <w:spacing w:line="360" w:lineRule="auto"/>
              <w:rPr>
                <w:rFonts w:ascii="Arial Narrow" w:eastAsia="Times New Roman" w:hAnsi="Arial Narrow" w:cs="Arial"/>
                <w:color w:val="000000"/>
                <w:lang w:eastAsia="es-CO"/>
              </w:rPr>
            </w:pPr>
            <w:r w:rsidRPr="00C807B9">
              <w:rPr>
                <w:rFonts w:ascii="Arial Narrow" w:eastAsia="Times New Roman" w:hAnsi="Arial Narrow" w:cs="Arial"/>
              </w:rPr>
              <w:t xml:space="preserve">29 de julio </w:t>
            </w:r>
            <w:r>
              <w:rPr>
                <w:rFonts w:ascii="Arial Narrow" w:eastAsia="Times New Roman" w:hAnsi="Arial Narrow" w:cs="Arial"/>
              </w:rPr>
              <w:t>de</w:t>
            </w:r>
            <w:r w:rsidRPr="00C807B9">
              <w:rPr>
                <w:rFonts w:ascii="Arial Narrow" w:eastAsia="Times New Roman" w:hAnsi="Arial Narrow" w:cs="Arial"/>
              </w:rPr>
              <w:t xml:space="preserve">  2019</w:t>
            </w:r>
          </w:p>
        </w:tc>
      </w:tr>
      <w:tr w:rsidR="00283E0D" w:rsidRPr="00DD4A0E" w:rsidTr="00283E0D">
        <w:tc>
          <w:tcPr>
            <w:tcW w:w="4489" w:type="dxa"/>
          </w:tcPr>
          <w:p w:rsidR="00283E0D" w:rsidRPr="00DD4A0E" w:rsidRDefault="00283E0D" w:rsidP="006E2328">
            <w:pPr>
              <w:spacing w:line="360" w:lineRule="auto"/>
              <w:rPr>
                <w:rFonts w:ascii="Arial Narrow" w:eastAsia="Times New Roman" w:hAnsi="Arial Narrow" w:cs="Arial"/>
                <w:color w:val="000000"/>
                <w:lang w:eastAsia="es-CO"/>
              </w:rPr>
            </w:pPr>
            <w:r w:rsidRPr="00DD4A0E">
              <w:rPr>
                <w:rFonts w:ascii="Arial Narrow" w:eastAsia="Times New Roman" w:hAnsi="Arial Narrow" w:cs="Arial"/>
                <w:color w:val="000000"/>
                <w:lang w:eastAsia="es-CO"/>
              </w:rPr>
              <w:t>Proyecto de Resolución</w:t>
            </w:r>
          </w:p>
        </w:tc>
        <w:tc>
          <w:tcPr>
            <w:tcW w:w="4489" w:type="dxa"/>
          </w:tcPr>
          <w:p w:rsidR="00B836CC" w:rsidRPr="00DD4A0E" w:rsidRDefault="009C5A37" w:rsidP="00B836CC">
            <w:pPr>
              <w:tabs>
                <w:tab w:val="left" w:pos="5693"/>
              </w:tabs>
              <w:spacing w:before="100" w:beforeAutospacing="1" w:after="100" w:afterAutospacing="1"/>
              <w:contextualSpacing/>
              <w:jc w:val="both"/>
              <w:rPr>
                <w:rFonts w:ascii="Arial Narrow" w:eastAsia="Times New Roman" w:hAnsi="Arial Narrow" w:cs="Arial"/>
              </w:rPr>
            </w:pPr>
            <w:r w:rsidRPr="00DD4A0E">
              <w:rPr>
                <w:rFonts w:ascii="Arial Narrow" w:eastAsia="Times New Roman" w:hAnsi="Arial Narrow" w:cs="Arial"/>
                <w:color w:val="000000"/>
                <w:lang w:eastAsia="es-CO"/>
              </w:rPr>
              <w:t>“</w:t>
            </w:r>
            <w:r w:rsidR="00B836CC" w:rsidRPr="00DD4A0E">
              <w:rPr>
                <w:rFonts w:ascii="Arial Narrow" w:eastAsia="Times New Roman" w:hAnsi="Arial Narrow" w:cs="Arial"/>
                <w:i/>
              </w:rPr>
              <w:t>Por la cual se adopta el  esquema de presunción de costos para los trabajadores independientes por cuenta propia cuya actividad económica sea el transporte  público automotor de  carga por carretera</w:t>
            </w:r>
            <w:r w:rsidR="00B836CC" w:rsidRPr="00DD4A0E">
              <w:rPr>
                <w:rFonts w:ascii="Arial Narrow" w:eastAsia="Times New Roman" w:hAnsi="Arial Narrow" w:cs="Arial"/>
              </w:rPr>
              <w:t>.”</w:t>
            </w:r>
          </w:p>
          <w:p w:rsidR="00283E0D" w:rsidRPr="00DD4A0E" w:rsidRDefault="00283E0D" w:rsidP="006E2328">
            <w:pPr>
              <w:spacing w:line="360" w:lineRule="auto"/>
              <w:rPr>
                <w:rFonts w:ascii="Arial Narrow" w:eastAsia="Times New Roman" w:hAnsi="Arial Narrow" w:cs="Arial"/>
                <w:color w:val="000000"/>
                <w:lang w:eastAsia="es-CO"/>
              </w:rPr>
            </w:pPr>
          </w:p>
        </w:tc>
      </w:tr>
      <w:tr w:rsidR="00283E0D" w:rsidRPr="00DD4A0E" w:rsidTr="00283E0D">
        <w:tc>
          <w:tcPr>
            <w:tcW w:w="4489" w:type="dxa"/>
          </w:tcPr>
          <w:p w:rsidR="00283E0D" w:rsidRPr="00DD4A0E" w:rsidRDefault="00334AE5" w:rsidP="006E2328">
            <w:pPr>
              <w:spacing w:line="360" w:lineRule="auto"/>
              <w:rPr>
                <w:rFonts w:ascii="Arial Narrow" w:eastAsia="Times New Roman" w:hAnsi="Arial Narrow" w:cs="Arial"/>
                <w:color w:val="000000"/>
                <w:lang w:eastAsia="es-CO"/>
              </w:rPr>
            </w:pPr>
            <w:r w:rsidRPr="00DD4A0E">
              <w:rPr>
                <w:rFonts w:ascii="Arial Narrow" w:eastAsia="Times New Roman" w:hAnsi="Arial Narrow" w:cs="Arial"/>
                <w:color w:val="000000"/>
                <w:lang w:eastAsia="es-CO"/>
              </w:rPr>
              <w:t>Competencia para la expedición del acto:</w:t>
            </w:r>
          </w:p>
        </w:tc>
        <w:tc>
          <w:tcPr>
            <w:tcW w:w="4489" w:type="dxa"/>
          </w:tcPr>
          <w:p w:rsidR="00283E0D" w:rsidRPr="00DD4A0E" w:rsidRDefault="00B836CC" w:rsidP="00C807B9">
            <w:pPr>
              <w:jc w:val="both"/>
              <w:rPr>
                <w:rFonts w:ascii="Arial Narrow" w:eastAsia="Times New Roman" w:hAnsi="Arial Narrow" w:cs="Arial"/>
                <w:color w:val="000000"/>
                <w:lang w:eastAsia="es-CO"/>
              </w:rPr>
            </w:pPr>
            <w:r w:rsidRPr="00DD4A0E">
              <w:rPr>
                <w:rFonts w:ascii="Arial Narrow" w:eastAsia="Times New Roman" w:hAnsi="Arial Narrow" w:cs="Arial"/>
                <w:color w:val="000000"/>
                <w:lang w:eastAsia="es-CO"/>
              </w:rPr>
              <w:t>Parágrafo del artículo 244 de la Ley 1955 del 25 de mayo de 2019.</w:t>
            </w:r>
          </w:p>
        </w:tc>
      </w:tr>
      <w:tr w:rsidR="00283E0D" w:rsidRPr="00DD4A0E" w:rsidTr="00283E0D">
        <w:tc>
          <w:tcPr>
            <w:tcW w:w="4489" w:type="dxa"/>
          </w:tcPr>
          <w:p w:rsidR="00283E0D" w:rsidRPr="00DD4A0E" w:rsidRDefault="00334AE5" w:rsidP="006E2328">
            <w:pPr>
              <w:spacing w:line="360" w:lineRule="auto"/>
              <w:rPr>
                <w:rFonts w:ascii="Arial Narrow" w:eastAsia="Times New Roman" w:hAnsi="Arial Narrow" w:cs="Arial"/>
                <w:color w:val="000000"/>
                <w:lang w:eastAsia="es-CO"/>
              </w:rPr>
            </w:pPr>
            <w:r w:rsidRPr="00DD4A0E">
              <w:rPr>
                <w:rFonts w:ascii="Arial Narrow" w:eastAsia="Times New Roman" w:hAnsi="Arial Narrow" w:cs="Arial"/>
                <w:color w:val="000000"/>
                <w:lang w:eastAsia="es-CO"/>
              </w:rPr>
              <w:t xml:space="preserve">Vigencia del </w:t>
            </w:r>
            <w:r w:rsidR="00B836CC" w:rsidRPr="00DD4A0E">
              <w:rPr>
                <w:rFonts w:ascii="Arial Narrow" w:eastAsia="Times New Roman" w:hAnsi="Arial Narrow" w:cs="Arial"/>
                <w:color w:val="000000"/>
                <w:lang w:eastAsia="es-CO"/>
              </w:rPr>
              <w:t>Parágrafo del artículo 244 de la Ley 1955 del 25 de mayo de 2019.</w:t>
            </w:r>
          </w:p>
        </w:tc>
        <w:tc>
          <w:tcPr>
            <w:tcW w:w="4489" w:type="dxa"/>
          </w:tcPr>
          <w:p w:rsidR="00283E0D" w:rsidRPr="00DD4A0E" w:rsidRDefault="00334AE5" w:rsidP="00C807B9">
            <w:pPr>
              <w:rPr>
                <w:rFonts w:ascii="Arial Narrow" w:eastAsia="Times New Roman" w:hAnsi="Arial Narrow" w:cs="Arial"/>
                <w:color w:val="000000"/>
                <w:lang w:eastAsia="es-CO"/>
              </w:rPr>
            </w:pPr>
            <w:r w:rsidRPr="00DD4A0E">
              <w:rPr>
                <w:rFonts w:ascii="Arial Narrow" w:eastAsia="Times New Roman" w:hAnsi="Arial Narrow" w:cs="Arial"/>
                <w:color w:val="000000"/>
                <w:lang w:eastAsia="es-CO"/>
              </w:rPr>
              <w:t>Vigente a partir del 2</w:t>
            </w:r>
            <w:r w:rsidR="00B836CC" w:rsidRPr="00DD4A0E">
              <w:rPr>
                <w:rFonts w:ascii="Arial Narrow" w:eastAsia="Times New Roman" w:hAnsi="Arial Narrow" w:cs="Arial"/>
                <w:color w:val="000000"/>
                <w:lang w:eastAsia="es-CO"/>
              </w:rPr>
              <w:t>5</w:t>
            </w:r>
            <w:r w:rsidRPr="00DD4A0E">
              <w:rPr>
                <w:rFonts w:ascii="Arial Narrow" w:eastAsia="Times New Roman" w:hAnsi="Arial Narrow" w:cs="Arial"/>
                <w:color w:val="000000"/>
                <w:lang w:eastAsia="es-CO"/>
              </w:rPr>
              <w:t xml:space="preserve"> de </w:t>
            </w:r>
            <w:r w:rsidR="00B836CC" w:rsidRPr="00DD4A0E">
              <w:rPr>
                <w:rFonts w:ascii="Arial Narrow" w:eastAsia="Times New Roman" w:hAnsi="Arial Narrow" w:cs="Arial"/>
                <w:color w:val="000000"/>
                <w:lang w:eastAsia="es-CO"/>
              </w:rPr>
              <w:t>mayo  de 2019</w:t>
            </w:r>
            <w:r w:rsidR="009C5A37" w:rsidRPr="00DD4A0E">
              <w:rPr>
                <w:rFonts w:ascii="Arial Narrow" w:eastAsia="Times New Roman" w:hAnsi="Arial Narrow" w:cs="Arial"/>
                <w:color w:val="000000"/>
                <w:lang w:eastAsia="es-CO"/>
              </w:rPr>
              <w:t xml:space="preserve"> a </w:t>
            </w:r>
            <w:proofErr w:type="spellStart"/>
            <w:r w:rsidRPr="00DD4A0E">
              <w:rPr>
                <w:rFonts w:ascii="Arial Narrow" w:eastAsia="Times New Roman" w:hAnsi="Arial Narrow" w:cs="Arial"/>
                <w:color w:val="000000"/>
                <w:lang w:eastAsia="es-CO"/>
              </w:rPr>
              <w:t>a</w:t>
            </w:r>
            <w:proofErr w:type="spellEnd"/>
            <w:r w:rsidRPr="00DD4A0E">
              <w:rPr>
                <w:rFonts w:ascii="Arial Narrow" w:eastAsia="Times New Roman" w:hAnsi="Arial Narrow" w:cs="Arial"/>
                <w:color w:val="000000"/>
                <w:lang w:eastAsia="es-CO"/>
              </w:rPr>
              <w:t xml:space="preserve"> la fecha</w:t>
            </w:r>
          </w:p>
        </w:tc>
      </w:tr>
      <w:tr w:rsidR="00283E0D" w:rsidRPr="00DD4A0E" w:rsidTr="00283E0D">
        <w:tc>
          <w:tcPr>
            <w:tcW w:w="4489" w:type="dxa"/>
          </w:tcPr>
          <w:p w:rsidR="00283E0D" w:rsidRPr="00DD4A0E" w:rsidRDefault="00334AE5" w:rsidP="006E2328">
            <w:pPr>
              <w:spacing w:line="360" w:lineRule="auto"/>
              <w:rPr>
                <w:rFonts w:ascii="Arial Narrow" w:eastAsia="Times New Roman" w:hAnsi="Arial Narrow" w:cs="Arial"/>
                <w:color w:val="000000"/>
                <w:lang w:eastAsia="es-CO"/>
              </w:rPr>
            </w:pPr>
            <w:r w:rsidRPr="00DD4A0E">
              <w:rPr>
                <w:rFonts w:ascii="Arial Narrow" w:eastAsia="Times New Roman" w:hAnsi="Arial Narrow" w:cs="Arial"/>
                <w:color w:val="000000"/>
                <w:lang w:eastAsia="es-CO"/>
              </w:rPr>
              <w:t>Disposiciones derogadas, subrogadas, modificadas, adicionadas o sustituidas con el proyecto de resolución</w:t>
            </w:r>
          </w:p>
        </w:tc>
        <w:tc>
          <w:tcPr>
            <w:tcW w:w="4489" w:type="dxa"/>
          </w:tcPr>
          <w:p w:rsidR="00283E0D" w:rsidRPr="00DD4A0E" w:rsidRDefault="00334AE5" w:rsidP="006E2328">
            <w:pPr>
              <w:spacing w:line="360" w:lineRule="auto"/>
              <w:rPr>
                <w:rFonts w:ascii="Arial Narrow" w:eastAsia="Times New Roman" w:hAnsi="Arial Narrow" w:cs="Arial"/>
                <w:color w:val="000000"/>
                <w:lang w:eastAsia="es-CO"/>
              </w:rPr>
            </w:pPr>
            <w:r w:rsidRPr="00DD4A0E">
              <w:rPr>
                <w:rFonts w:ascii="Arial Narrow" w:eastAsia="Times New Roman" w:hAnsi="Arial Narrow" w:cs="Arial"/>
                <w:color w:val="000000"/>
                <w:lang w:eastAsia="es-CO"/>
              </w:rPr>
              <w:t>Ninguna</w:t>
            </w:r>
          </w:p>
        </w:tc>
      </w:tr>
    </w:tbl>
    <w:p w:rsidR="00283E0D" w:rsidRPr="00DD4A0E" w:rsidRDefault="00283E0D" w:rsidP="006E2328">
      <w:pPr>
        <w:spacing w:after="0" w:line="360" w:lineRule="auto"/>
        <w:rPr>
          <w:rFonts w:ascii="Arial Narrow" w:eastAsia="Times New Roman" w:hAnsi="Arial Narrow" w:cs="Arial"/>
          <w:color w:val="000000"/>
          <w:lang w:eastAsia="es-CO"/>
        </w:rPr>
      </w:pPr>
    </w:p>
    <w:p w:rsidR="00283E0D" w:rsidRPr="00C807B9" w:rsidRDefault="00BA12D7" w:rsidP="00C807B9">
      <w:pPr>
        <w:pStyle w:val="Prrafodelista"/>
        <w:numPr>
          <w:ilvl w:val="0"/>
          <w:numId w:val="13"/>
        </w:numPr>
        <w:spacing w:after="0" w:line="360" w:lineRule="auto"/>
        <w:rPr>
          <w:rFonts w:ascii="Arial Narrow" w:eastAsia="Times New Roman" w:hAnsi="Arial Narrow" w:cs="Arial"/>
          <w:b/>
          <w:color w:val="000000"/>
          <w:lang w:eastAsia="es-CO"/>
        </w:rPr>
      </w:pPr>
      <w:r w:rsidRPr="00C807B9">
        <w:rPr>
          <w:rFonts w:ascii="Arial Narrow" w:eastAsia="Times New Roman" w:hAnsi="Arial Narrow" w:cs="Arial"/>
          <w:color w:val="000000"/>
          <w:lang w:eastAsia="es-CO"/>
        </w:rPr>
        <w:t xml:space="preserve"> </w:t>
      </w:r>
      <w:r w:rsidRPr="00C807B9">
        <w:rPr>
          <w:rFonts w:ascii="Arial Narrow" w:eastAsia="Times New Roman" w:hAnsi="Arial Narrow" w:cs="Arial"/>
          <w:b/>
          <w:color w:val="000000"/>
          <w:lang w:eastAsia="es-CO"/>
        </w:rPr>
        <w:t>ANTECEDENTES Y RAZONES DE OPORTUNIDAD Y CONVENIENCIA QUE JUSTIFICAN SU EXPEDICIÓN</w:t>
      </w:r>
    </w:p>
    <w:p w:rsidR="00BA12D7" w:rsidRPr="00C807B9" w:rsidRDefault="00BA12D7" w:rsidP="006E2328">
      <w:pPr>
        <w:spacing w:after="0" w:line="360" w:lineRule="auto"/>
        <w:rPr>
          <w:rFonts w:ascii="Arial Narrow" w:eastAsia="Times New Roman" w:hAnsi="Arial Narrow" w:cs="Arial"/>
          <w:color w:val="000000"/>
          <w:lang w:eastAsia="es-CO"/>
        </w:rPr>
      </w:pPr>
    </w:p>
    <w:p w:rsidR="00C71575" w:rsidRPr="00C807B9" w:rsidRDefault="00C71575" w:rsidP="00C71575">
      <w:pPr>
        <w:shd w:val="clear" w:color="auto" w:fill="FFFFFF"/>
        <w:spacing w:before="150" w:after="150" w:line="240" w:lineRule="auto"/>
        <w:jc w:val="both"/>
        <w:rPr>
          <w:rFonts w:ascii="Arial Narrow" w:eastAsia="Times New Roman" w:hAnsi="Arial Narrow" w:cs="Arial"/>
          <w:lang w:eastAsia="es-CO"/>
        </w:rPr>
      </w:pPr>
      <w:r w:rsidRPr="00C807B9">
        <w:rPr>
          <w:rFonts w:ascii="Arial Narrow" w:eastAsia="Times New Roman" w:hAnsi="Arial Narrow" w:cs="Arial"/>
          <w:lang w:val="es-ES" w:eastAsia="es-CO"/>
        </w:rPr>
        <w:t xml:space="preserve">El artículo 244 de la Ley 1955 de 2019 por el cual se expide el </w:t>
      </w:r>
      <w:r w:rsidRPr="00C807B9">
        <w:rPr>
          <w:rFonts w:ascii="Arial Narrow" w:eastAsia="Times New Roman" w:hAnsi="Arial Narrow"/>
          <w:color w:val="000000"/>
          <w:shd w:val="clear" w:color="auto" w:fill="FFFFFF"/>
          <w:lang w:eastAsia="es-CO"/>
        </w:rPr>
        <w:t xml:space="preserve">Plan Nacional de Desarrollo  2018-2022.  </w:t>
      </w:r>
      <w:r w:rsidRPr="00C807B9">
        <w:rPr>
          <w:rFonts w:ascii="Arial Narrow" w:eastAsia="Times New Roman" w:hAnsi="Arial Narrow"/>
          <w:b/>
          <w:bCs/>
          <w:color w:val="000000"/>
          <w:shd w:val="clear" w:color="auto" w:fill="FFFFFF"/>
          <w:lang w:eastAsia="es-CO"/>
        </w:rPr>
        <w:t>"Pacto por Colombia, pacto por la Equidad</w:t>
      </w:r>
      <w:r w:rsidRPr="00C807B9">
        <w:rPr>
          <w:rFonts w:ascii="Arial Narrow" w:eastAsia="Times New Roman" w:hAnsi="Arial Narrow"/>
          <w:color w:val="000000"/>
          <w:shd w:val="clear" w:color="auto" w:fill="FFFFFF"/>
          <w:lang w:eastAsia="es-CO"/>
        </w:rPr>
        <w:t>",</w:t>
      </w:r>
      <w:r w:rsidRPr="00C807B9">
        <w:rPr>
          <w:rFonts w:ascii="Arial Narrow" w:eastAsia="Times New Roman" w:hAnsi="Arial Narrow" w:cs="Arial"/>
          <w:lang w:val="es-ES" w:eastAsia="es-CO"/>
        </w:rPr>
        <w:t xml:space="preserve"> dispone que los</w:t>
      </w:r>
      <w:r w:rsidRPr="00C807B9">
        <w:rPr>
          <w:rFonts w:ascii="Arial Narrow" w:eastAsia="Times New Roman" w:hAnsi="Arial Narrow" w:cs="Arial"/>
          <w:lang w:eastAsia="es-CO"/>
        </w:rPr>
        <w:t xml:space="preserve">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 IVA, señalando que en estos casos será procedente la imputación de costos y deducciones siempre que se cumplan los criterios determinados en el artículo 107 del Estatuto Tributario y sin exceder los valores incluidos en la declaración de renta de la respectiva vigencia.</w:t>
      </w:r>
    </w:p>
    <w:p w:rsidR="00C71575" w:rsidRPr="00C807B9" w:rsidRDefault="00C807B9" w:rsidP="00C71575">
      <w:pPr>
        <w:tabs>
          <w:tab w:val="left" w:pos="5693"/>
        </w:tabs>
        <w:spacing w:before="100" w:beforeAutospacing="1" w:after="100" w:afterAutospacing="1" w:line="240" w:lineRule="auto"/>
        <w:contextualSpacing/>
        <w:jc w:val="both"/>
        <w:rPr>
          <w:rFonts w:ascii="Arial Narrow" w:hAnsi="Arial Narrow"/>
        </w:rPr>
      </w:pPr>
      <w:r w:rsidRPr="00C807B9">
        <w:rPr>
          <w:rFonts w:ascii="Arial Narrow" w:hAnsi="Arial Narrow" w:cs="Arial"/>
          <w:lang w:val="es-ES"/>
        </w:rPr>
        <w:t>Así</w:t>
      </w:r>
      <w:r w:rsidR="00401F57" w:rsidRPr="00C807B9">
        <w:rPr>
          <w:rFonts w:ascii="Arial Narrow" w:hAnsi="Arial Narrow" w:cs="Arial"/>
          <w:lang w:val="es-ES"/>
        </w:rPr>
        <w:t xml:space="preserve"> mismo, </w:t>
      </w:r>
      <w:r w:rsidR="00C71575" w:rsidRPr="00C807B9">
        <w:rPr>
          <w:rFonts w:ascii="Arial Narrow" w:hAnsi="Arial Narrow" w:cs="Arial"/>
          <w:lang w:val="es-ES"/>
        </w:rPr>
        <w:t xml:space="preserve"> el parágrafo de esta misma disposición dispone que para efectos de la determinación del Ingreso Base de Cotización de los trabajadores independientes por cuenta propia y para quienes celebren contratos diferentes de prestación de servicios personales que impliquen subcontratación y/o compra de insumos o expensas, la Unidad Administrativa Especial de Gestión Pensional y Contribuciones Parafiscales de la Protección Social –UGPP deberá determinar un esquema de presunción de costos,  atendiendo a los datos estadísticos </w:t>
      </w:r>
      <w:r w:rsidR="00C71575" w:rsidRPr="00C807B9">
        <w:rPr>
          <w:rFonts w:ascii="Arial Narrow" w:hAnsi="Arial Narrow"/>
        </w:rPr>
        <w:t xml:space="preserve">producidos por la Dirección de Impuestos y Aduanas Nacionales - DIAN, por el Departamento </w:t>
      </w:r>
      <w:r w:rsidR="00C71575" w:rsidRPr="00C807B9">
        <w:rPr>
          <w:rFonts w:ascii="Arial Narrow" w:hAnsi="Arial Narrow"/>
        </w:rPr>
        <w:lastRenderedPageBreak/>
        <w:t>Administrativo Nacional de Estadística, por el Banco de la República, por la Superintendencia de Sociedades u otras entidades cuyas estadísticas fueren aplicables.</w:t>
      </w:r>
    </w:p>
    <w:p w:rsidR="00401F57" w:rsidRPr="00C807B9" w:rsidRDefault="00401F57" w:rsidP="00C71575">
      <w:pPr>
        <w:tabs>
          <w:tab w:val="left" w:pos="5693"/>
        </w:tabs>
        <w:spacing w:before="100" w:beforeAutospacing="1" w:after="100" w:afterAutospacing="1" w:line="240" w:lineRule="auto"/>
        <w:contextualSpacing/>
        <w:jc w:val="both"/>
        <w:rPr>
          <w:rFonts w:ascii="Arial Narrow" w:hAnsi="Arial Narrow"/>
        </w:rPr>
      </w:pPr>
    </w:p>
    <w:p w:rsidR="00401F57" w:rsidRPr="00C807B9" w:rsidRDefault="00401F57" w:rsidP="00C71575">
      <w:pPr>
        <w:tabs>
          <w:tab w:val="left" w:pos="5693"/>
        </w:tabs>
        <w:spacing w:before="100" w:beforeAutospacing="1" w:after="100" w:afterAutospacing="1" w:line="240" w:lineRule="auto"/>
        <w:contextualSpacing/>
        <w:jc w:val="both"/>
        <w:rPr>
          <w:rFonts w:ascii="Arial Narrow" w:hAnsi="Arial Narrow"/>
        </w:rPr>
      </w:pPr>
      <w:r w:rsidRPr="00C807B9">
        <w:rPr>
          <w:rFonts w:ascii="Arial Narrow" w:hAnsi="Arial Narrow" w:cs="Arial"/>
          <w:bCs/>
          <w:color w:val="000000" w:themeColor="text1"/>
          <w:lang w:val="es-ES"/>
        </w:rPr>
        <w:t xml:space="preserve">Que en ejercicio de las facultades otorgadas, se determina el esquema de presunción de costos para los trabajadores independientes por cuenta propia y con contrato diferente al de prestación de servicios, </w:t>
      </w:r>
      <w:r w:rsidRPr="00C807B9">
        <w:rPr>
          <w:rFonts w:ascii="Arial Narrow" w:hAnsi="Arial Narrow" w:cs="Arial"/>
          <w:lang w:val="es-ES"/>
        </w:rPr>
        <w:t>cuya actividad económica es el  transporte  público automotor de  carga por carretera</w:t>
      </w:r>
      <w:r w:rsidRPr="00C807B9">
        <w:rPr>
          <w:rFonts w:ascii="Arial Narrow" w:hAnsi="Arial Narrow" w:cs="Arial"/>
          <w:bCs/>
          <w:color w:val="000000" w:themeColor="text1"/>
          <w:lang w:val="es-ES"/>
        </w:rPr>
        <w:t>, para efectos de la determinación del ingreso base de cotización para el pago de los aportes  al Sistema de Seguridad Social Integral, basada en datos estadísticos de las entidades del sector</w:t>
      </w:r>
    </w:p>
    <w:p w:rsidR="006E2328" w:rsidRPr="00C807B9" w:rsidRDefault="00BA12D7" w:rsidP="006E2328">
      <w:pPr>
        <w:spacing w:after="0" w:line="360" w:lineRule="auto"/>
        <w:jc w:val="both"/>
        <w:rPr>
          <w:rFonts w:ascii="Arial Narrow" w:eastAsia="Times New Roman" w:hAnsi="Arial Narrow" w:cs="Arial"/>
        </w:rPr>
      </w:pPr>
      <w:r w:rsidRPr="00C807B9">
        <w:rPr>
          <w:rFonts w:ascii="Arial Narrow" w:eastAsia="Times New Roman" w:hAnsi="Arial Narrow" w:cs="Arial"/>
        </w:rPr>
        <w:t xml:space="preserve"> </w:t>
      </w:r>
    </w:p>
    <w:p w:rsidR="00401F57" w:rsidRPr="00C807B9" w:rsidRDefault="00401F57" w:rsidP="00401F57">
      <w:pPr>
        <w:tabs>
          <w:tab w:val="left" w:pos="5693"/>
        </w:tabs>
        <w:spacing w:before="100" w:beforeAutospacing="1" w:after="100" w:afterAutospacing="1" w:line="240" w:lineRule="auto"/>
        <w:contextualSpacing/>
        <w:jc w:val="both"/>
        <w:rPr>
          <w:rFonts w:ascii="Arial Narrow" w:hAnsi="Arial Narrow" w:cs="Arial"/>
          <w:bCs/>
          <w:color w:val="000000" w:themeColor="text1"/>
        </w:rPr>
      </w:pPr>
      <w:r w:rsidRPr="00C807B9">
        <w:rPr>
          <w:rFonts w:ascii="Arial Narrow" w:hAnsi="Arial Narrow" w:cs="Arial"/>
          <w:bCs/>
          <w:color w:val="000000" w:themeColor="text1"/>
        </w:rPr>
        <w:t xml:space="preserve">Que la Unidad de Gestión Pensional y Contribuciones Parafiscales del Sistema de la Protección Social –UGPP tomó como marco de referencia los </w:t>
      </w:r>
      <w:r w:rsidRPr="00C807B9">
        <w:rPr>
          <w:rFonts w:ascii="Arial Narrow" w:eastAsia="Verdana" w:hAnsi="Arial Narrow" w:cs="Verdana"/>
          <w:kern w:val="24"/>
        </w:rPr>
        <w:t xml:space="preserve">estudios técnicos desarrollados y aprobados por el Ministerio de Transporte, contenidos en </w:t>
      </w:r>
      <w:r w:rsidRPr="00C807B9">
        <w:rPr>
          <w:rFonts w:ascii="Arial Narrow" w:hAnsi="Arial Narrow" w:cs="Arial"/>
          <w:bCs/>
          <w:color w:val="000000" w:themeColor="text1"/>
        </w:rPr>
        <w:t>el Sistema de Costos Eficientes de Operación del Transporte Automotor de Carga – SICE-TAC, así como la información contenida en el Registro Nacional de Despacho de Carga- RNDC, tal como el valor los ingresos brutos percibidos por el propietario, poseedor o tenedor del vehículo de servicio público de transporte de carga por carretera, para efectos  de generar  estadísticas necesarias  para la definición del  esquema de presunción de costos de dicha actividad.</w:t>
      </w:r>
    </w:p>
    <w:p w:rsidR="00401F57" w:rsidRPr="00C807B9" w:rsidRDefault="00401F57" w:rsidP="00401F57">
      <w:pPr>
        <w:tabs>
          <w:tab w:val="left" w:pos="5693"/>
        </w:tabs>
        <w:spacing w:before="100" w:beforeAutospacing="1" w:after="100" w:afterAutospacing="1" w:line="240" w:lineRule="auto"/>
        <w:contextualSpacing/>
        <w:jc w:val="both"/>
        <w:rPr>
          <w:rFonts w:ascii="Arial Narrow" w:hAnsi="Arial Narrow" w:cs="Arial"/>
          <w:color w:val="FF0000"/>
          <w:lang w:val="es-ES"/>
        </w:rPr>
      </w:pPr>
    </w:p>
    <w:p w:rsidR="00401F57" w:rsidRPr="00C807B9" w:rsidRDefault="00401F57" w:rsidP="00401F57">
      <w:pPr>
        <w:tabs>
          <w:tab w:val="left" w:pos="5693"/>
        </w:tabs>
        <w:spacing w:before="100" w:beforeAutospacing="1" w:after="100" w:afterAutospacing="1" w:line="240" w:lineRule="auto"/>
        <w:contextualSpacing/>
        <w:jc w:val="both"/>
        <w:rPr>
          <w:rFonts w:ascii="Arial Narrow" w:hAnsi="Arial Narrow" w:cs="Arial"/>
          <w:lang w:val="es-ES"/>
        </w:rPr>
      </w:pPr>
      <w:r w:rsidRPr="00C807B9">
        <w:rPr>
          <w:rFonts w:ascii="Arial Narrow" w:hAnsi="Arial Narrow" w:cs="Arial"/>
          <w:bCs/>
          <w:color w:val="000000" w:themeColor="text1"/>
        </w:rPr>
        <w:t xml:space="preserve">Que con fundamento en la información recaudada y el análisis correspondiente, la Unidad de Gestión Pensional y Contribuciones Parafiscales del Sistema de la Protección Social –UGPP determina el esquema de presunción de costos para el  sector económico  de </w:t>
      </w:r>
      <w:r w:rsidRPr="00C807B9">
        <w:rPr>
          <w:rFonts w:ascii="Arial Narrow" w:hAnsi="Arial Narrow" w:cs="Arial"/>
          <w:bCs/>
          <w:color w:val="000000" w:themeColor="text1"/>
          <w:lang w:val="es-ES"/>
        </w:rPr>
        <w:t>Transporte Público Automotor de Carga por carretera</w:t>
      </w:r>
      <w:r w:rsidRPr="00C807B9">
        <w:rPr>
          <w:rFonts w:ascii="Arial Narrow" w:hAnsi="Arial Narrow" w:cs="Arial"/>
          <w:bCs/>
          <w:color w:val="000000" w:themeColor="text1"/>
        </w:rPr>
        <w:t xml:space="preserve">, definiendo unos porcentajes de costos a reconocer de acuerdo con </w:t>
      </w:r>
      <w:r w:rsidRPr="00C807B9">
        <w:rPr>
          <w:rFonts w:ascii="Arial Narrow" w:hAnsi="Arial Narrow" w:cs="Arial"/>
          <w:lang w:val="es-ES"/>
        </w:rPr>
        <w:t>el ejercicio eficiente de esta actividad</w:t>
      </w:r>
      <w:r w:rsidRPr="00C807B9">
        <w:rPr>
          <w:rFonts w:ascii="Arial Narrow" w:hAnsi="Arial Narrow" w:cs="Arial"/>
          <w:color w:val="FF0000"/>
          <w:lang w:val="es-ES"/>
        </w:rPr>
        <w:t xml:space="preserve"> </w:t>
      </w:r>
      <w:r w:rsidRPr="00C807B9">
        <w:rPr>
          <w:rFonts w:ascii="Arial Narrow" w:hAnsi="Arial Narrow" w:cs="Arial"/>
          <w:lang w:val="es-ES"/>
        </w:rPr>
        <w:t xml:space="preserve">que busca contener escenarios representativos de operación, teniendo en cuenta, entre otros, los rangos de ingresos generados por el propietario del vehículo. </w:t>
      </w:r>
    </w:p>
    <w:p w:rsidR="00401F57" w:rsidRPr="00C807B9" w:rsidRDefault="00401F57" w:rsidP="00401F57">
      <w:pPr>
        <w:tabs>
          <w:tab w:val="left" w:pos="5693"/>
        </w:tabs>
        <w:spacing w:before="100" w:beforeAutospacing="1" w:after="100" w:afterAutospacing="1" w:line="240" w:lineRule="auto"/>
        <w:contextualSpacing/>
        <w:jc w:val="both"/>
        <w:rPr>
          <w:rFonts w:ascii="Arial Narrow" w:hAnsi="Arial Narrow" w:cs="Arial"/>
          <w:lang w:val="es-ES"/>
        </w:rPr>
      </w:pPr>
    </w:p>
    <w:p w:rsidR="00283E0D" w:rsidRPr="00C807B9" w:rsidRDefault="0034555D" w:rsidP="00C807B9">
      <w:pPr>
        <w:pStyle w:val="Prrafodelista"/>
        <w:numPr>
          <w:ilvl w:val="0"/>
          <w:numId w:val="13"/>
        </w:numPr>
        <w:spacing w:after="0" w:line="360" w:lineRule="auto"/>
        <w:jc w:val="both"/>
        <w:rPr>
          <w:rFonts w:ascii="Arial Narrow" w:hAnsi="Arial Narrow" w:cs="Arial"/>
          <w:b/>
        </w:rPr>
      </w:pPr>
      <w:r w:rsidRPr="00C807B9">
        <w:rPr>
          <w:rFonts w:ascii="Arial Narrow" w:hAnsi="Arial Narrow" w:cs="Arial"/>
          <w:b/>
        </w:rPr>
        <w:t>AMBITO DE APLICACIÓN DEL RESPECTIVO ACTO Y SUJETO A QUIEN VA DIRIGIDO</w:t>
      </w:r>
    </w:p>
    <w:p w:rsidR="00C807B9" w:rsidRPr="00C807B9" w:rsidRDefault="00C807B9" w:rsidP="00C807B9">
      <w:pPr>
        <w:pStyle w:val="Prrafodelista"/>
        <w:spacing w:after="0" w:line="360" w:lineRule="auto"/>
        <w:ind w:left="1080"/>
        <w:jc w:val="both"/>
        <w:rPr>
          <w:rFonts w:ascii="Arial Narrow" w:eastAsia="Times New Roman" w:hAnsi="Arial Narrow" w:cs="Arial"/>
          <w:b/>
          <w:color w:val="000000"/>
          <w:lang w:eastAsia="es-CO"/>
        </w:rPr>
      </w:pPr>
    </w:p>
    <w:p w:rsidR="00283E0D" w:rsidRPr="00C807B9" w:rsidRDefault="00B02D41" w:rsidP="00C807B9">
      <w:pPr>
        <w:spacing w:after="0" w:line="240" w:lineRule="auto"/>
        <w:jc w:val="both"/>
        <w:rPr>
          <w:rFonts w:ascii="Arial Narrow" w:eastAsia="Times New Roman" w:hAnsi="Arial Narrow" w:cs="Arial"/>
          <w:color w:val="000000"/>
          <w:lang w:eastAsia="es-CO"/>
        </w:rPr>
      </w:pPr>
      <w:r w:rsidRPr="00C807B9">
        <w:rPr>
          <w:rFonts w:ascii="Arial Narrow" w:eastAsia="Times New Roman" w:hAnsi="Arial Narrow" w:cs="Arial"/>
          <w:color w:val="000000"/>
          <w:lang w:eastAsia="es-CO"/>
        </w:rPr>
        <w:t xml:space="preserve">La </w:t>
      </w:r>
      <w:r w:rsidR="009E1D2C" w:rsidRPr="00C807B9">
        <w:rPr>
          <w:rFonts w:ascii="Arial Narrow" w:eastAsia="Times New Roman" w:hAnsi="Arial Narrow" w:cs="Arial"/>
          <w:color w:val="000000"/>
          <w:lang w:eastAsia="es-CO"/>
        </w:rPr>
        <w:t>presente propuesta normativa aplicará</w:t>
      </w:r>
      <w:r w:rsidR="00401F57" w:rsidRPr="00C807B9">
        <w:rPr>
          <w:rFonts w:ascii="Arial Narrow" w:eastAsia="Times New Roman" w:hAnsi="Arial Narrow" w:cs="Arial"/>
          <w:color w:val="000000"/>
          <w:lang w:eastAsia="es-CO"/>
        </w:rPr>
        <w:t xml:space="preserve"> a todos los trabajadores independientes por cuenta propia  correspondientes a los ingresos generados  en desarrollo de la actividad económica de transporte público  automotor de carga por carretera.</w:t>
      </w:r>
    </w:p>
    <w:p w:rsidR="00B02D41" w:rsidRPr="00C807B9" w:rsidRDefault="00B02D41" w:rsidP="006E2328">
      <w:pPr>
        <w:spacing w:after="0" w:line="360" w:lineRule="auto"/>
        <w:rPr>
          <w:rFonts w:ascii="Arial Narrow" w:eastAsia="Times New Roman" w:hAnsi="Arial Narrow" w:cs="Arial"/>
          <w:color w:val="000000"/>
          <w:lang w:eastAsia="es-CO"/>
        </w:rPr>
      </w:pPr>
    </w:p>
    <w:p w:rsidR="00283E0D" w:rsidRPr="00C807B9" w:rsidRDefault="00B21224" w:rsidP="006E2328">
      <w:pPr>
        <w:spacing w:after="0" w:line="360" w:lineRule="auto"/>
        <w:ind w:firstLine="708"/>
        <w:rPr>
          <w:rFonts w:ascii="Arial Narrow" w:eastAsia="Times New Roman" w:hAnsi="Arial Narrow" w:cs="Arial"/>
          <w:b/>
          <w:color w:val="000000"/>
          <w:lang w:eastAsia="es-CO"/>
        </w:rPr>
      </w:pPr>
      <w:r w:rsidRPr="00C807B9">
        <w:rPr>
          <w:rFonts w:ascii="Arial Narrow" w:hAnsi="Arial Narrow" w:cs="Arial"/>
          <w:b/>
        </w:rPr>
        <w:t>III. VIABILIDAD JURÍDICA</w:t>
      </w:r>
    </w:p>
    <w:p w:rsidR="000454E0" w:rsidRPr="00C807B9" w:rsidRDefault="00B21224" w:rsidP="00C807B9">
      <w:pPr>
        <w:spacing w:after="0" w:line="240" w:lineRule="auto"/>
        <w:jc w:val="both"/>
        <w:rPr>
          <w:rFonts w:ascii="Arial Narrow" w:eastAsia="Times New Roman" w:hAnsi="Arial Narrow" w:cs="Arial"/>
          <w:color w:val="000000"/>
          <w:lang w:eastAsia="es-CO"/>
        </w:rPr>
      </w:pPr>
      <w:r w:rsidRPr="00C807B9">
        <w:rPr>
          <w:rFonts w:ascii="Arial Narrow" w:eastAsia="Times New Roman" w:hAnsi="Arial Narrow" w:cs="Arial"/>
        </w:rPr>
        <w:t xml:space="preserve">La Resolución encuentra su viabilidad jurídica principalmente en la facultad otorgada por el </w:t>
      </w:r>
      <w:r w:rsidR="00401F57" w:rsidRPr="00C807B9">
        <w:rPr>
          <w:rFonts w:ascii="Arial Narrow" w:eastAsia="Times New Roman" w:hAnsi="Arial Narrow" w:cs="Arial"/>
        </w:rPr>
        <w:t>parágrafo del artículo 244 de la Ley 1955 del 25 de mayo de 2019</w:t>
      </w:r>
      <w:r w:rsidR="007A6933" w:rsidRPr="00C807B9">
        <w:rPr>
          <w:rFonts w:ascii="Arial Narrow" w:eastAsia="Times New Roman" w:hAnsi="Arial Narrow" w:cs="Arial"/>
        </w:rPr>
        <w:t xml:space="preserve"> </w:t>
      </w:r>
    </w:p>
    <w:p w:rsidR="00344CDF" w:rsidRPr="00C807B9" w:rsidRDefault="00344CDF" w:rsidP="00C807B9">
      <w:pPr>
        <w:spacing w:after="0" w:line="240" w:lineRule="auto"/>
        <w:rPr>
          <w:rFonts w:ascii="Arial Narrow" w:eastAsia="Times New Roman" w:hAnsi="Arial Narrow" w:cs="Arial"/>
          <w:color w:val="000000"/>
          <w:lang w:eastAsia="es-CO"/>
        </w:rPr>
      </w:pPr>
    </w:p>
    <w:p w:rsidR="00B21224" w:rsidRPr="00C807B9" w:rsidRDefault="00B21224" w:rsidP="006E2328">
      <w:pPr>
        <w:spacing w:after="0" w:line="360" w:lineRule="auto"/>
        <w:rPr>
          <w:rFonts w:ascii="Arial Narrow" w:eastAsia="Times New Roman" w:hAnsi="Arial Narrow" w:cs="Arial"/>
          <w:b/>
          <w:color w:val="000000"/>
          <w:lang w:eastAsia="es-CO"/>
        </w:rPr>
      </w:pPr>
      <w:r w:rsidRPr="00C807B9">
        <w:rPr>
          <w:rFonts w:ascii="Arial Narrow" w:eastAsia="Times New Roman" w:hAnsi="Arial Narrow" w:cs="Arial"/>
          <w:b/>
          <w:color w:val="000000"/>
          <w:lang w:eastAsia="es-CO"/>
        </w:rPr>
        <w:tab/>
        <w:t>IV. IMPACTO ECONÓMICO</w:t>
      </w:r>
    </w:p>
    <w:p w:rsidR="00344CDF" w:rsidRPr="00C807B9" w:rsidRDefault="007A6933" w:rsidP="00C807B9">
      <w:pPr>
        <w:spacing w:after="0" w:line="240" w:lineRule="auto"/>
        <w:rPr>
          <w:rFonts w:ascii="Arial Narrow" w:eastAsia="Times New Roman" w:hAnsi="Arial Narrow" w:cs="Arial"/>
          <w:color w:val="000000"/>
          <w:lang w:eastAsia="es-CO"/>
        </w:rPr>
      </w:pPr>
      <w:r w:rsidRPr="00C807B9">
        <w:rPr>
          <w:rFonts w:ascii="Arial Narrow" w:eastAsia="Times New Roman" w:hAnsi="Arial Narrow" w:cs="Arial"/>
          <w:color w:val="000000"/>
          <w:lang w:eastAsia="es-CO"/>
        </w:rPr>
        <w:t xml:space="preserve">No aplica impacto económico para la Unidad de Gestión Pensional y Contribuciones Parafiscales del </w:t>
      </w:r>
      <w:r w:rsidR="00401F57" w:rsidRPr="00C807B9">
        <w:rPr>
          <w:rFonts w:ascii="Arial Narrow" w:eastAsia="Times New Roman" w:hAnsi="Arial Narrow" w:cs="Arial"/>
          <w:color w:val="000000"/>
          <w:lang w:eastAsia="es-CO"/>
        </w:rPr>
        <w:t xml:space="preserve">Sistema de la Protección Social ni para sus destinatarios </w:t>
      </w:r>
    </w:p>
    <w:p w:rsidR="007A6933" w:rsidRPr="00C807B9" w:rsidRDefault="007A6933" w:rsidP="006E2328">
      <w:pPr>
        <w:spacing w:after="0" w:line="360" w:lineRule="auto"/>
        <w:rPr>
          <w:rFonts w:ascii="Arial Narrow" w:eastAsia="Times New Roman" w:hAnsi="Arial Narrow" w:cs="Arial"/>
          <w:color w:val="000000"/>
          <w:lang w:eastAsia="es-CO"/>
        </w:rPr>
      </w:pPr>
    </w:p>
    <w:p w:rsidR="00B21224" w:rsidRPr="00C807B9" w:rsidRDefault="00B21224" w:rsidP="006E2328">
      <w:pPr>
        <w:spacing w:after="0" w:line="360" w:lineRule="auto"/>
        <w:rPr>
          <w:rFonts w:ascii="Arial Narrow" w:eastAsia="Times New Roman" w:hAnsi="Arial Narrow" w:cs="Arial"/>
          <w:b/>
          <w:color w:val="000000"/>
          <w:lang w:eastAsia="es-CO"/>
        </w:rPr>
      </w:pPr>
      <w:r w:rsidRPr="00C807B9">
        <w:rPr>
          <w:rFonts w:ascii="Arial Narrow" w:eastAsia="Times New Roman" w:hAnsi="Arial Narrow" w:cs="Arial"/>
          <w:color w:val="000000"/>
          <w:lang w:eastAsia="es-CO"/>
        </w:rPr>
        <w:tab/>
      </w:r>
      <w:r w:rsidRPr="00C807B9">
        <w:rPr>
          <w:rFonts w:ascii="Arial Narrow" w:eastAsia="Times New Roman" w:hAnsi="Arial Narrow" w:cs="Arial"/>
          <w:b/>
          <w:color w:val="000000"/>
          <w:lang w:eastAsia="es-CO"/>
        </w:rPr>
        <w:t>V. DISPONIBILIDAD PRESUPUESTAL</w:t>
      </w:r>
    </w:p>
    <w:p w:rsidR="00B21224" w:rsidRPr="00C807B9" w:rsidRDefault="00D06FB7" w:rsidP="00C807B9">
      <w:pPr>
        <w:spacing w:after="0" w:line="240" w:lineRule="auto"/>
        <w:rPr>
          <w:rFonts w:ascii="Arial Narrow" w:eastAsia="Times New Roman" w:hAnsi="Arial Narrow" w:cs="Arial"/>
          <w:color w:val="000000"/>
          <w:lang w:eastAsia="es-CO"/>
        </w:rPr>
      </w:pPr>
      <w:r w:rsidRPr="00C807B9">
        <w:rPr>
          <w:rFonts w:ascii="Arial Narrow" w:eastAsia="Times New Roman" w:hAnsi="Arial Narrow" w:cs="Arial"/>
          <w:color w:val="000000"/>
          <w:lang w:eastAsia="es-CO"/>
        </w:rPr>
        <w:t>El proyecto de resolución no requiere de disponibilidad presupuestal, porque no implica un desembolso de recursos económicos a cargo del Estado Colombiano</w:t>
      </w:r>
      <w:proofErr w:type="gramStart"/>
      <w:r w:rsidRPr="00C807B9">
        <w:rPr>
          <w:rFonts w:ascii="Arial Narrow" w:eastAsia="Times New Roman" w:hAnsi="Arial Narrow" w:cs="Arial"/>
          <w:color w:val="000000"/>
          <w:lang w:eastAsia="es-CO"/>
        </w:rPr>
        <w:t>.</w:t>
      </w:r>
      <w:r w:rsidR="00B21224" w:rsidRPr="00C807B9">
        <w:rPr>
          <w:rFonts w:ascii="Arial Narrow" w:eastAsia="Times New Roman" w:hAnsi="Arial Narrow" w:cs="Arial"/>
          <w:color w:val="000000"/>
          <w:lang w:eastAsia="es-CO"/>
        </w:rPr>
        <w:t>.</w:t>
      </w:r>
      <w:proofErr w:type="gramEnd"/>
    </w:p>
    <w:p w:rsidR="007A6933" w:rsidRPr="00C807B9" w:rsidRDefault="007A6933" w:rsidP="006E2328">
      <w:pPr>
        <w:spacing w:after="0" w:line="360" w:lineRule="auto"/>
        <w:rPr>
          <w:rFonts w:ascii="Arial Narrow" w:eastAsia="Times New Roman" w:hAnsi="Arial Narrow" w:cs="Arial"/>
          <w:color w:val="000000"/>
          <w:lang w:eastAsia="es-CO"/>
        </w:rPr>
      </w:pPr>
    </w:p>
    <w:p w:rsidR="00B21224" w:rsidRPr="00C807B9" w:rsidRDefault="00B21224" w:rsidP="006E2328">
      <w:pPr>
        <w:spacing w:after="0" w:line="360" w:lineRule="auto"/>
        <w:ind w:left="705"/>
        <w:rPr>
          <w:rFonts w:ascii="Arial Narrow" w:eastAsia="Times New Roman" w:hAnsi="Arial Narrow" w:cs="Arial"/>
          <w:b/>
          <w:color w:val="000000"/>
          <w:lang w:eastAsia="es-CO"/>
        </w:rPr>
      </w:pPr>
      <w:r w:rsidRPr="00C807B9">
        <w:rPr>
          <w:rFonts w:ascii="Arial Narrow" w:eastAsia="Times New Roman" w:hAnsi="Arial Narrow" w:cs="Arial"/>
          <w:b/>
          <w:color w:val="000000"/>
          <w:lang w:eastAsia="es-CO"/>
        </w:rPr>
        <w:t>VI. IMPACTO AMBIENTAL O SOBRE EL PATRIMONIO CULTURAL DE LA NACIÓN</w:t>
      </w:r>
    </w:p>
    <w:p w:rsidR="00B21224" w:rsidRDefault="00B21224" w:rsidP="006E2328">
      <w:pPr>
        <w:spacing w:after="0" w:line="360" w:lineRule="auto"/>
        <w:rPr>
          <w:rFonts w:ascii="Arial Narrow" w:eastAsia="Times New Roman" w:hAnsi="Arial Narrow" w:cs="Arial"/>
          <w:color w:val="000000"/>
          <w:lang w:eastAsia="es-CO"/>
        </w:rPr>
      </w:pPr>
      <w:r w:rsidRPr="00C807B9">
        <w:rPr>
          <w:rFonts w:ascii="Arial Narrow" w:eastAsia="Times New Roman" w:hAnsi="Arial Narrow" w:cs="Arial"/>
          <w:color w:val="000000"/>
          <w:lang w:eastAsia="es-CO"/>
        </w:rPr>
        <w:t>No aplica.</w:t>
      </w:r>
    </w:p>
    <w:p w:rsidR="00B21224" w:rsidRPr="00C807B9" w:rsidRDefault="00B21224" w:rsidP="006E2328">
      <w:pPr>
        <w:spacing w:after="0" w:line="360" w:lineRule="auto"/>
        <w:rPr>
          <w:rFonts w:ascii="Arial Narrow" w:eastAsia="Times New Roman" w:hAnsi="Arial Narrow" w:cs="Arial"/>
          <w:b/>
          <w:color w:val="000000"/>
          <w:lang w:eastAsia="es-CO"/>
        </w:rPr>
      </w:pPr>
      <w:r w:rsidRPr="00C807B9">
        <w:rPr>
          <w:rFonts w:ascii="Arial Narrow" w:eastAsia="Times New Roman" w:hAnsi="Arial Narrow" w:cs="Arial"/>
          <w:color w:val="000000"/>
          <w:lang w:eastAsia="es-CO"/>
        </w:rPr>
        <w:tab/>
      </w:r>
      <w:r w:rsidRPr="00C807B9">
        <w:rPr>
          <w:rFonts w:ascii="Arial Narrow" w:eastAsia="Times New Roman" w:hAnsi="Arial Narrow" w:cs="Arial"/>
          <w:b/>
          <w:color w:val="000000"/>
          <w:lang w:eastAsia="es-CO"/>
        </w:rPr>
        <w:t>VII. CUMPLIMIENTO DE LOS REQUISITOS DE CONSULTA Y PUBLICIDAD</w:t>
      </w:r>
    </w:p>
    <w:p w:rsidR="00B21224" w:rsidRPr="00C807B9" w:rsidRDefault="00B21224" w:rsidP="006E2328">
      <w:pPr>
        <w:spacing w:after="0" w:line="360" w:lineRule="auto"/>
        <w:rPr>
          <w:rFonts w:ascii="Arial Narrow" w:eastAsia="Times New Roman" w:hAnsi="Arial Narrow" w:cs="Arial"/>
          <w:b/>
          <w:color w:val="000000"/>
          <w:lang w:eastAsia="es-CO"/>
        </w:rPr>
      </w:pPr>
    </w:p>
    <w:p w:rsidR="004D6CCB" w:rsidRPr="00C807B9" w:rsidRDefault="00B21224" w:rsidP="00C807B9">
      <w:pPr>
        <w:spacing w:after="0" w:line="240" w:lineRule="auto"/>
        <w:jc w:val="both"/>
        <w:rPr>
          <w:rFonts w:ascii="Arial Narrow" w:hAnsi="Arial Narrow" w:cs="Arial"/>
        </w:rPr>
      </w:pPr>
      <w:r w:rsidRPr="00C807B9">
        <w:rPr>
          <w:rFonts w:ascii="Arial Narrow" w:eastAsia="Times New Roman" w:hAnsi="Arial Narrow" w:cs="Arial"/>
        </w:rPr>
        <w:t xml:space="preserve">El proyecto de resolución se publicó en la página de la Unidad Administrativa Especial de Gestión Pensional y Contribuciones Parafiscales-de la Protección Social- UGPP, </w:t>
      </w:r>
      <w:r w:rsidR="004D6CCB" w:rsidRPr="00C807B9">
        <w:rPr>
          <w:rFonts w:ascii="Arial Narrow" w:eastAsia="Times New Roman" w:hAnsi="Arial Narrow" w:cs="Arial"/>
        </w:rPr>
        <w:t xml:space="preserve">en el link </w:t>
      </w:r>
      <w:hyperlink r:id="rId8" w:history="1">
        <w:r w:rsidR="004D6CCB" w:rsidRPr="00C807B9">
          <w:rPr>
            <w:rStyle w:val="Hipervnculo"/>
            <w:rFonts w:ascii="Arial Narrow" w:hAnsi="Arial Narrow" w:cs="Arial"/>
          </w:rPr>
          <w:t>https://www.ugpp.gov.co/nuestra-entidad/proyectos-normativa</w:t>
        </w:r>
      </w:hyperlink>
      <w:r w:rsidR="004D6CCB" w:rsidRPr="00C807B9">
        <w:rPr>
          <w:rFonts w:ascii="Arial Narrow" w:hAnsi="Arial Narrow" w:cs="Arial"/>
        </w:rPr>
        <w:t xml:space="preserve">, </w:t>
      </w:r>
      <w:r w:rsidR="004D6CCB" w:rsidRPr="00C807B9">
        <w:rPr>
          <w:rFonts w:ascii="Arial Narrow" w:eastAsia="Times New Roman" w:hAnsi="Arial Narrow" w:cs="Arial"/>
        </w:rPr>
        <w:t xml:space="preserve">del </w:t>
      </w:r>
      <w:r w:rsidR="00DF0DAE" w:rsidRPr="00C807B9">
        <w:rPr>
          <w:rFonts w:ascii="Arial Narrow" w:eastAsia="Times New Roman" w:hAnsi="Arial Narrow" w:cs="Arial"/>
        </w:rPr>
        <w:t>29</w:t>
      </w:r>
      <w:r w:rsidR="00401F57" w:rsidRPr="00C807B9">
        <w:rPr>
          <w:rFonts w:ascii="Arial Narrow" w:eastAsia="Times New Roman" w:hAnsi="Arial Narrow" w:cs="Arial"/>
        </w:rPr>
        <w:t xml:space="preserve"> </w:t>
      </w:r>
      <w:r w:rsidR="00DF0DAE" w:rsidRPr="00C807B9">
        <w:rPr>
          <w:rFonts w:ascii="Arial Narrow" w:eastAsia="Times New Roman" w:hAnsi="Arial Narrow" w:cs="Arial"/>
        </w:rPr>
        <w:t xml:space="preserve">de julio al 12 de agosto de </w:t>
      </w:r>
      <w:r w:rsidRPr="00C807B9">
        <w:rPr>
          <w:rFonts w:ascii="Arial Narrow" w:eastAsia="Times New Roman" w:hAnsi="Arial Narrow" w:cs="Arial"/>
        </w:rPr>
        <w:t xml:space="preserve"> 2019</w:t>
      </w:r>
      <w:r w:rsidR="004D6CCB" w:rsidRPr="00C807B9">
        <w:rPr>
          <w:rFonts w:ascii="Arial Narrow" w:eastAsia="Times New Roman" w:hAnsi="Arial Narrow" w:cs="Arial"/>
        </w:rPr>
        <w:t xml:space="preserve">, en cumplimiento de lo dispuesto en el </w:t>
      </w:r>
      <w:r w:rsidR="004D6CCB" w:rsidRPr="00C807B9">
        <w:rPr>
          <w:rFonts w:ascii="Arial Narrow" w:hAnsi="Arial Narrow" w:cs="Arial"/>
        </w:rPr>
        <w:t>Decreto 1081 de 2015 modificado por el Decreto 270 de 2017 y artículos 3º núm.9º y 8º núm. 8º del Código de Procedimiento Administrativo y de lo Contencioso Administrativo.</w:t>
      </w:r>
    </w:p>
    <w:p w:rsidR="00B21224" w:rsidRPr="00C807B9" w:rsidRDefault="00B21224" w:rsidP="006E2328">
      <w:pPr>
        <w:spacing w:after="0" w:line="360" w:lineRule="auto"/>
        <w:jc w:val="both"/>
        <w:rPr>
          <w:rFonts w:ascii="Arial Narrow" w:eastAsia="Times New Roman" w:hAnsi="Arial Narrow" w:cs="Arial"/>
        </w:rPr>
      </w:pPr>
    </w:p>
    <w:p w:rsidR="004D6CCB" w:rsidRPr="00C807B9" w:rsidRDefault="004D6CCB" w:rsidP="006E2328">
      <w:pPr>
        <w:spacing w:after="0" w:line="360" w:lineRule="auto"/>
        <w:jc w:val="both"/>
        <w:rPr>
          <w:rFonts w:ascii="Arial Narrow" w:eastAsia="Times New Roman" w:hAnsi="Arial Narrow" w:cs="Arial"/>
          <w:b/>
        </w:rPr>
      </w:pPr>
      <w:r w:rsidRPr="00C807B9">
        <w:rPr>
          <w:rFonts w:ascii="Arial Narrow" w:eastAsia="Times New Roman" w:hAnsi="Arial Narrow" w:cs="Arial"/>
        </w:rPr>
        <w:tab/>
      </w:r>
      <w:r w:rsidRPr="00C807B9">
        <w:rPr>
          <w:rFonts w:ascii="Arial Narrow" w:eastAsia="Times New Roman" w:hAnsi="Arial Narrow" w:cs="Arial"/>
          <w:b/>
        </w:rPr>
        <w:t>VIII. ASPECTOS ADICIONALES IMPORTANTES</w:t>
      </w:r>
    </w:p>
    <w:p w:rsidR="00E32B76" w:rsidRPr="00C807B9" w:rsidRDefault="00E32B76" w:rsidP="00C807B9">
      <w:pPr>
        <w:spacing w:after="0" w:line="240" w:lineRule="auto"/>
        <w:jc w:val="both"/>
        <w:rPr>
          <w:rFonts w:ascii="Arial Narrow" w:eastAsia="Times New Roman" w:hAnsi="Arial Narrow" w:cs="Arial"/>
          <w:b/>
        </w:rPr>
      </w:pPr>
    </w:p>
    <w:p w:rsidR="00283E0D" w:rsidRDefault="004D6CCB" w:rsidP="00C807B9">
      <w:pPr>
        <w:spacing w:after="0" w:line="240" w:lineRule="auto"/>
        <w:jc w:val="both"/>
        <w:rPr>
          <w:rFonts w:ascii="Arial Narrow" w:eastAsia="Times New Roman" w:hAnsi="Arial Narrow" w:cs="Arial"/>
          <w:color w:val="000000"/>
          <w:lang w:eastAsia="es-CO"/>
        </w:rPr>
      </w:pPr>
      <w:r w:rsidRPr="00C807B9">
        <w:rPr>
          <w:rFonts w:ascii="Arial Narrow" w:eastAsia="Times New Roman" w:hAnsi="Arial Narrow" w:cs="Arial"/>
        </w:rPr>
        <w:t xml:space="preserve">Previo a la publicación del proyecto, la Unidad Administrativa Especial de Gestión Pensional y Contribuciones Parafiscales-de la Protección Social- UGPP adelantó mesas de trabajo </w:t>
      </w:r>
      <w:r w:rsidR="00401F57" w:rsidRPr="00C807B9">
        <w:rPr>
          <w:rFonts w:ascii="Arial Narrow" w:eastAsia="Times New Roman" w:hAnsi="Arial Narrow" w:cs="Arial"/>
        </w:rPr>
        <w:t xml:space="preserve">el Ministerio de Transporte con el fin de atender la política nacional de transporte publico automotor de carga, especialmente la política tarifaria </w:t>
      </w:r>
      <w:r w:rsidR="003B057C" w:rsidRPr="00C807B9">
        <w:rPr>
          <w:rFonts w:ascii="Arial Narrow" w:eastAsia="Times New Roman" w:hAnsi="Arial Narrow" w:cs="Arial"/>
        </w:rPr>
        <w:t>y los criterios que regulan las relaciones económicas entre los actores del servicio público de transporte terrestre automotor de carga, a través del Sistema de Costos eficientes que rige su operación.</w:t>
      </w:r>
      <w:r w:rsidR="003B057C" w:rsidRPr="00C807B9">
        <w:rPr>
          <w:rFonts w:ascii="Arial Narrow" w:eastAsia="Times New Roman" w:hAnsi="Arial Narrow" w:cs="Arial"/>
          <w:color w:val="000000"/>
          <w:lang w:eastAsia="es-CO"/>
        </w:rPr>
        <w:t xml:space="preserve"> </w:t>
      </w:r>
    </w:p>
    <w:p w:rsidR="00C807B9" w:rsidRPr="00C807B9" w:rsidRDefault="00C807B9" w:rsidP="00C807B9">
      <w:pPr>
        <w:spacing w:after="0" w:line="240" w:lineRule="auto"/>
        <w:jc w:val="both"/>
        <w:rPr>
          <w:rFonts w:ascii="Arial Narrow" w:eastAsia="Times New Roman" w:hAnsi="Arial Narrow" w:cs="Arial"/>
          <w:color w:val="000000"/>
          <w:lang w:eastAsia="es-CO"/>
        </w:rPr>
      </w:pPr>
    </w:p>
    <w:p w:rsidR="004D6CCB" w:rsidRPr="00C807B9" w:rsidRDefault="004D6CCB" w:rsidP="006E2328">
      <w:pPr>
        <w:spacing w:after="0" w:line="360" w:lineRule="auto"/>
        <w:ind w:left="705"/>
        <w:jc w:val="both"/>
        <w:rPr>
          <w:rFonts w:ascii="Arial Narrow" w:eastAsia="Times New Roman" w:hAnsi="Arial Narrow" w:cs="Arial"/>
          <w:b/>
        </w:rPr>
      </w:pPr>
      <w:r w:rsidRPr="00C807B9">
        <w:rPr>
          <w:rFonts w:ascii="Arial Narrow" w:eastAsia="Times New Roman" w:hAnsi="Arial Narrow" w:cs="Arial"/>
          <w:b/>
        </w:rPr>
        <w:t>IX. EXPLICACIÓN DE LAS RAZONES PARA EXPEDIR NUEVO ACTO E IMPACTO QUE TENDRÁ EN LA SEGURIDAD JURÍDICA</w:t>
      </w:r>
    </w:p>
    <w:p w:rsidR="004D6CCB" w:rsidRPr="00C807B9" w:rsidRDefault="004D6CCB" w:rsidP="00C807B9">
      <w:pPr>
        <w:spacing w:after="0" w:line="240" w:lineRule="auto"/>
        <w:jc w:val="both"/>
        <w:rPr>
          <w:rFonts w:ascii="Arial Narrow" w:eastAsia="Times New Roman" w:hAnsi="Arial Narrow" w:cs="Arial"/>
          <w:b/>
        </w:rPr>
      </w:pPr>
    </w:p>
    <w:p w:rsidR="004D6CCB" w:rsidRPr="00C807B9" w:rsidRDefault="003B057C" w:rsidP="00C807B9">
      <w:pPr>
        <w:spacing w:after="0" w:line="240" w:lineRule="auto"/>
        <w:rPr>
          <w:rFonts w:ascii="Arial Narrow" w:eastAsia="Times New Roman" w:hAnsi="Arial Narrow" w:cs="Arial"/>
          <w:color w:val="000000"/>
          <w:lang w:eastAsia="es-CO"/>
        </w:rPr>
      </w:pPr>
      <w:r w:rsidRPr="00C807B9">
        <w:rPr>
          <w:rFonts w:ascii="Arial Narrow" w:eastAsia="Times New Roman" w:hAnsi="Arial Narrow" w:cs="Arial"/>
          <w:color w:val="000000"/>
          <w:lang w:eastAsia="es-CO"/>
        </w:rPr>
        <w:t xml:space="preserve">Se </w:t>
      </w:r>
      <w:r w:rsidR="004D6CCB" w:rsidRPr="00C807B9">
        <w:rPr>
          <w:rFonts w:ascii="Arial Narrow" w:eastAsia="Times New Roman" w:hAnsi="Arial Narrow" w:cs="Arial"/>
          <w:color w:val="000000"/>
          <w:lang w:eastAsia="es-CO"/>
        </w:rPr>
        <w:t xml:space="preserve">trata de acto que </w:t>
      </w:r>
      <w:r w:rsidRPr="00C807B9">
        <w:rPr>
          <w:rFonts w:ascii="Arial Narrow" w:eastAsia="Times New Roman" w:hAnsi="Arial Narrow" w:cs="Arial"/>
          <w:color w:val="000000"/>
          <w:lang w:eastAsia="es-CO"/>
        </w:rPr>
        <w:t xml:space="preserve">proporciona a los destinatarios mayor seguridad jurídica en el proceso de fiscalización por parte de la Unidad de Gestión Pensional y Contribuciones Parafiscales del Sistema de la Protección Social </w:t>
      </w:r>
    </w:p>
    <w:p w:rsidR="00C7332F" w:rsidRPr="00C807B9" w:rsidRDefault="004D6CCB" w:rsidP="006E2328">
      <w:pPr>
        <w:spacing w:after="0" w:line="360" w:lineRule="auto"/>
        <w:rPr>
          <w:rFonts w:ascii="Arial Narrow" w:hAnsi="Arial Narrow" w:cs="Arial"/>
          <w:b/>
        </w:rPr>
      </w:pPr>
      <w:r w:rsidRPr="00C807B9">
        <w:rPr>
          <w:rFonts w:ascii="Arial Narrow" w:eastAsia="Times New Roman" w:hAnsi="Arial Narrow" w:cs="Arial"/>
          <w:color w:val="000000"/>
          <w:lang w:eastAsia="es-CO"/>
        </w:rPr>
        <w:tab/>
      </w:r>
      <w:r w:rsidRPr="00C807B9">
        <w:rPr>
          <w:rFonts w:ascii="Arial Narrow" w:hAnsi="Arial Narrow" w:cs="Arial"/>
          <w:b/>
        </w:rPr>
        <w:t>X. ANEXOS</w:t>
      </w:r>
    </w:p>
    <w:p w:rsidR="004D6CCB" w:rsidRPr="00C807B9" w:rsidRDefault="004D6CCB" w:rsidP="006E2328">
      <w:pPr>
        <w:spacing w:after="0" w:line="360" w:lineRule="auto"/>
        <w:rPr>
          <w:rFonts w:ascii="Arial Narrow" w:hAnsi="Arial Narrow" w:cs="Arial"/>
        </w:rPr>
      </w:pPr>
      <w:r w:rsidRPr="00C807B9">
        <w:rPr>
          <w:rFonts w:ascii="Arial Narrow" w:hAnsi="Arial Narrow" w:cs="Arial"/>
        </w:rPr>
        <w:t>Cuadro con las observaciones recibidas durante la publicación del proyecto.</w:t>
      </w:r>
    </w:p>
    <w:p w:rsidR="004D6CCB" w:rsidRPr="00C807B9" w:rsidRDefault="004D6CCB" w:rsidP="006E2328">
      <w:pPr>
        <w:spacing w:after="0" w:line="360" w:lineRule="auto"/>
        <w:ind w:left="705"/>
        <w:jc w:val="both"/>
        <w:rPr>
          <w:rFonts w:ascii="Arial Narrow" w:hAnsi="Arial Narrow" w:cs="Arial"/>
          <w:b/>
        </w:rPr>
      </w:pPr>
      <w:r w:rsidRPr="00C807B9">
        <w:rPr>
          <w:rFonts w:ascii="Arial Narrow" w:hAnsi="Arial Narrow" w:cs="Arial"/>
          <w:b/>
        </w:rPr>
        <w:t>XI. EL PROYECTO CUMPLE CON LAS DIRECTRICES DE TECNICA NORMATIVA PREVISTAS EN EL DECRETO No. 1081 de 2015</w:t>
      </w:r>
      <w:r w:rsidR="00924241" w:rsidRPr="00C807B9">
        <w:rPr>
          <w:rFonts w:ascii="Arial Narrow" w:hAnsi="Arial Narrow" w:cs="Arial"/>
          <w:b/>
        </w:rPr>
        <w:t xml:space="preserve">, modificado por el D. 270 de 2017. </w:t>
      </w:r>
    </w:p>
    <w:p w:rsidR="004D6CCB" w:rsidRPr="00C807B9" w:rsidRDefault="004D6CCB" w:rsidP="006E2328">
      <w:pPr>
        <w:spacing w:after="0" w:line="360" w:lineRule="auto"/>
        <w:jc w:val="both"/>
        <w:rPr>
          <w:rFonts w:ascii="Arial Narrow" w:hAnsi="Arial Narrow" w:cs="Arial"/>
        </w:rPr>
      </w:pPr>
      <w:r w:rsidRPr="00C807B9">
        <w:rPr>
          <w:rFonts w:ascii="Arial Narrow" w:hAnsi="Arial Narrow" w:cs="Arial"/>
        </w:rPr>
        <w:t>SI</w:t>
      </w:r>
      <w:r w:rsidR="00924241" w:rsidRPr="00C807B9">
        <w:rPr>
          <w:rFonts w:ascii="Arial Narrow" w:hAnsi="Arial Narrow" w:cs="Arial"/>
        </w:rPr>
        <w:t>.</w:t>
      </w:r>
    </w:p>
    <w:p w:rsidR="004D6CCB" w:rsidRPr="00C807B9" w:rsidRDefault="004D6CCB" w:rsidP="006E2328">
      <w:pPr>
        <w:spacing w:after="0" w:line="360" w:lineRule="auto"/>
        <w:rPr>
          <w:rFonts w:ascii="Arial Narrow" w:eastAsia="Times New Roman" w:hAnsi="Arial Narrow" w:cs="Arial"/>
          <w:b/>
          <w:color w:val="000000"/>
          <w:lang w:eastAsia="es-CO"/>
        </w:rPr>
      </w:pPr>
    </w:p>
    <w:p w:rsidR="00714648" w:rsidRPr="00C807B9" w:rsidRDefault="004D6CCB" w:rsidP="006E2328">
      <w:pPr>
        <w:spacing w:after="0" w:line="360" w:lineRule="auto"/>
        <w:rPr>
          <w:rFonts w:ascii="Arial Narrow" w:eastAsia="Times New Roman" w:hAnsi="Arial Narrow" w:cs="Arial"/>
          <w:b/>
          <w:color w:val="000000"/>
          <w:lang w:eastAsia="es-CO"/>
        </w:rPr>
      </w:pPr>
      <w:permStart w:id="879193820" w:edGrp="everyone"/>
      <w:r w:rsidRPr="00C807B9">
        <w:rPr>
          <w:rFonts w:ascii="Arial Narrow" w:eastAsia="Times New Roman" w:hAnsi="Arial Narrow" w:cs="Arial"/>
          <w:b/>
          <w:color w:val="000000"/>
          <w:lang w:eastAsia="es-CO"/>
        </w:rPr>
        <w:t xml:space="preserve"> Aprobó</w:t>
      </w:r>
    </w:p>
    <w:p w:rsidR="004D6CCB" w:rsidRPr="00C807B9" w:rsidRDefault="004D6CCB" w:rsidP="006E2328">
      <w:pPr>
        <w:spacing w:after="0" w:line="360" w:lineRule="auto"/>
        <w:rPr>
          <w:rFonts w:ascii="Arial Narrow" w:eastAsia="Times New Roman" w:hAnsi="Arial Narrow" w:cs="Arial"/>
          <w:b/>
          <w:color w:val="000000"/>
          <w:lang w:eastAsia="es-CO"/>
        </w:rPr>
      </w:pPr>
    </w:p>
    <w:p w:rsidR="00316D7F" w:rsidRPr="00C807B9" w:rsidRDefault="00316D7F" w:rsidP="006E2328">
      <w:pPr>
        <w:spacing w:after="0" w:line="360" w:lineRule="auto"/>
        <w:rPr>
          <w:rFonts w:ascii="Arial Narrow" w:eastAsia="Times New Roman" w:hAnsi="Arial Narrow" w:cs="Arial"/>
          <w:b/>
          <w:lang w:eastAsia="es-CO"/>
        </w:rPr>
      </w:pPr>
      <w:r w:rsidRPr="00C807B9">
        <w:rPr>
          <w:rFonts w:ascii="Arial Narrow" w:eastAsia="Times New Roman" w:hAnsi="Arial Narrow" w:cs="Arial"/>
          <w:b/>
          <w:lang w:eastAsia="es-CO"/>
        </w:rPr>
        <w:t>CLAUDIA ALEJANDRA CAICEDO BORRÁS</w:t>
      </w:r>
    </w:p>
    <w:p w:rsidR="00316D7F" w:rsidRPr="00C807B9" w:rsidRDefault="00316D7F" w:rsidP="006E2328">
      <w:pPr>
        <w:spacing w:after="0" w:line="360" w:lineRule="auto"/>
        <w:rPr>
          <w:rFonts w:ascii="Arial Narrow" w:eastAsia="Times New Roman" w:hAnsi="Arial Narrow" w:cs="Arial"/>
          <w:lang w:eastAsia="es-CO"/>
        </w:rPr>
      </w:pPr>
      <w:r w:rsidRPr="00C807B9">
        <w:rPr>
          <w:rFonts w:ascii="Arial Narrow" w:eastAsia="Times New Roman" w:hAnsi="Arial Narrow" w:cs="Arial"/>
          <w:lang w:eastAsia="es-CO"/>
        </w:rPr>
        <w:t xml:space="preserve">Subdirectora Jurídica de Parafiscales </w:t>
      </w:r>
    </w:p>
    <w:p w:rsidR="00127983" w:rsidRPr="00C807B9" w:rsidRDefault="00127983" w:rsidP="006E2328">
      <w:pPr>
        <w:spacing w:after="0" w:line="360" w:lineRule="auto"/>
        <w:rPr>
          <w:rFonts w:ascii="Arial Narrow" w:eastAsia="Times New Roman" w:hAnsi="Arial Narrow" w:cs="Arial"/>
          <w:lang w:eastAsia="es-CO"/>
        </w:rPr>
      </w:pPr>
    </w:p>
    <w:p w:rsidR="00924241" w:rsidRDefault="00924241" w:rsidP="00C807B9">
      <w:pPr>
        <w:spacing w:after="0" w:line="240" w:lineRule="auto"/>
        <w:rPr>
          <w:rFonts w:ascii="Arial Narrow" w:eastAsia="Times New Roman" w:hAnsi="Arial Narrow" w:cs="Arial"/>
          <w:lang w:eastAsia="es-CO"/>
        </w:rPr>
      </w:pPr>
      <w:r w:rsidRPr="00C807B9">
        <w:rPr>
          <w:rFonts w:ascii="Arial Narrow" w:eastAsia="Times New Roman" w:hAnsi="Arial Narrow" w:cs="Arial"/>
          <w:lang w:eastAsia="es-CO"/>
        </w:rPr>
        <w:lastRenderedPageBreak/>
        <w:t xml:space="preserve">Anexos: </w:t>
      </w:r>
    </w:p>
    <w:p w:rsidR="00C807B9" w:rsidRPr="00C807B9" w:rsidRDefault="00C807B9" w:rsidP="00C807B9">
      <w:pPr>
        <w:spacing w:after="0" w:line="240" w:lineRule="auto"/>
        <w:rPr>
          <w:rFonts w:ascii="Arial Narrow" w:eastAsia="Times New Roman" w:hAnsi="Arial Narrow" w:cs="Arial"/>
          <w:lang w:eastAsia="es-CO"/>
        </w:rPr>
      </w:pPr>
    </w:p>
    <w:p w:rsidR="00924241" w:rsidRPr="00C807B9" w:rsidRDefault="00924241" w:rsidP="00C807B9">
      <w:pPr>
        <w:pStyle w:val="Prrafodelista"/>
        <w:numPr>
          <w:ilvl w:val="0"/>
          <w:numId w:val="12"/>
        </w:numPr>
        <w:spacing w:after="0" w:line="240" w:lineRule="auto"/>
        <w:jc w:val="both"/>
        <w:rPr>
          <w:rFonts w:ascii="Arial Narrow" w:eastAsia="Times New Roman" w:hAnsi="Arial Narrow" w:cs="Arial"/>
          <w:lang w:eastAsia="es-CO"/>
        </w:rPr>
      </w:pPr>
      <w:r w:rsidRPr="00C807B9">
        <w:rPr>
          <w:rFonts w:ascii="Arial Narrow" w:eastAsia="Times New Roman" w:hAnsi="Arial Narrow" w:cs="Arial"/>
          <w:lang w:eastAsia="es-CO"/>
        </w:rPr>
        <w:t>Matriz con el resumen de observaciones y comentarios al proyecto publicado en la página web de la UNIDAD.</w:t>
      </w:r>
    </w:p>
    <w:p w:rsidR="00924241" w:rsidRPr="00DD4A0E" w:rsidRDefault="00924241" w:rsidP="00C807B9">
      <w:pPr>
        <w:pStyle w:val="Prrafodelista"/>
        <w:numPr>
          <w:ilvl w:val="0"/>
          <w:numId w:val="12"/>
        </w:numPr>
        <w:spacing w:after="0" w:line="240" w:lineRule="auto"/>
        <w:jc w:val="both"/>
        <w:rPr>
          <w:rFonts w:ascii="Arial Narrow" w:eastAsia="Times New Roman" w:hAnsi="Arial Narrow" w:cs="Arial"/>
          <w:lang w:eastAsia="es-CO"/>
        </w:rPr>
      </w:pPr>
      <w:r w:rsidRPr="00DD4A0E">
        <w:rPr>
          <w:rFonts w:ascii="Arial Narrow" w:eastAsia="Times New Roman" w:hAnsi="Arial Narrow" w:cs="Arial"/>
          <w:lang w:eastAsia="es-CO"/>
        </w:rPr>
        <w:t>Informe global con la evaluación de las observaciones recibidas durante la publicación del proyecto.</w:t>
      </w:r>
    </w:p>
    <w:p w:rsidR="004D6CCB" w:rsidRPr="00DD4A0E" w:rsidRDefault="004D6CCB" w:rsidP="006E2328">
      <w:pPr>
        <w:spacing w:after="0" w:line="360" w:lineRule="auto"/>
        <w:rPr>
          <w:rFonts w:ascii="Arial Narrow" w:eastAsia="Times New Roman" w:hAnsi="Arial Narrow" w:cs="Arial"/>
          <w:lang w:eastAsia="es-CO"/>
        </w:rPr>
      </w:pPr>
    </w:p>
    <w:p w:rsidR="007351FE" w:rsidRPr="00DD4A0E" w:rsidRDefault="00316D7F" w:rsidP="006E2328">
      <w:pPr>
        <w:spacing w:after="0" w:line="360" w:lineRule="auto"/>
        <w:rPr>
          <w:rFonts w:ascii="Arial Narrow" w:eastAsia="Times New Roman" w:hAnsi="Arial Narrow" w:cs="Arial"/>
          <w:sz w:val="16"/>
          <w:szCs w:val="16"/>
          <w:lang w:eastAsia="es-CO"/>
        </w:rPr>
      </w:pPr>
      <w:r w:rsidRPr="00DD4A0E">
        <w:rPr>
          <w:rFonts w:ascii="Arial Narrow" w:eastAsia="Times New Roman" w:hAnsi="Arial Narrow" w:cs="Arial"/>
          <w:sz w:val="16"/>
          <w:szCs w:val="16"/>
          <w:lang w:eastAsia="es-CO"/>
        </w:rPr>
        <w:t xml:space="preserve">ELABORÓ: </w:t>
      </w:r>
      <w:r w:rsidR="00C807B9">
        <w:rPr>
          <w:rFonts w:ascii="Arial Narrow" w:eastAsia="Times New Roman" w:hAnsi="Arial Narrow" w:cs="Arial"/>
          <w:sz w:val="16"/>
          <w:szCs w:val="16"/>
          <w:lang w:eastAsia="es-CO"/>
        </w:rPr>
        <w:t>Maribel González Benavides</w:t>
      </w:r>
      <w:permEnd w:id="879193820"/>
    </w:p>
    <w:sectPr w:rsidR="007351FE" w:rsidRPr="00DD4A0E" w:rsidSect="00594F19">
      <w:headerReference w:type="default" r:id="rId9"/>
      <w:footerReference w:type="default" r:id="rId10"/>
      <w:pgSz w:w="12240" w:h="15840"/>
      <w:pgMar w:top="1417" w:right="1701" w:bottom="1417" w:left="1701" w:header="708" w:footer="18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A0E" w:rsidRDefault="00DD4A0E">
      <w:pPr>
        <w:spacing w:after="0" w:line="240" w:lineRule="auto"/>
      </w:pPr>
      <w:r>
        <w:separator/>
      </w:r>
    </w:p>
  </w:endnote>
  <w:endnote w:type="continuationSeparator" w:id="0">
    <w:p w:rsidR="00DD4A0E" w:rsidRDefault="00DD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0E" w:rsidRDefault="00DD4A0E" w:rsidP="003F50E9">
    <w:pPr>
      <w:pStyle w:val="Contenidodelatabla"/>
      <w:framePr w:w="2835" w:h="1395" w:hRule="exact" w:hSpace="142" w:wrap="around" w:vAnchor="text" w:hAnchor="page" w:x="1600" w:y="108"/>
      <w:rPr>
        <w:sz w:val="16"/>
        <w:szCs w:val="16"/>
      </w:rPr>
    </w:pPr>
    <w:r>
      <w:rPr>
        <w:sz w:val="16"/>
        <w:szCs w:val="16"/>
      </w:rPr>
      <w:t>Recepción de correspondencia:</w:t>
    </w:r>
  </w:p>
  <w:p w:rsidR="00DD4A0E" w:rsidRDefault="00DD4A0E" w:rsidP="003F50E9">
    <w:pPr>
      <w:pStyle w:val="Piedepgina"/>
      <w:framePr w:w="2835" w:h="1395" w:hRule="exact" w:hSpace="142" w:wrap="around" w:vAnchor="text" w:hAnchor="page" w:x="1600" w:y="108"/>
      <w:tabs>
        <w:tab w:val="clear" w:pos="4419"/>
        <w:tab w:val="clear" w:pos="8838"/>
        <w:tab w:val="left" w:pos="3330"/>
      </w:tabs>
      <w:rPr>
        <w:sz w:val="16"/>
        <w:szCs w:val="16"/>
      </w:rPr>
    </w:pPr>
    <w:r>
      <w:rPr>
        <w:sz w:val="16"/>
        <w:szCs w:val="16"/>
      </w:rPr>
      <w:t xml:space="preserve">Avenida Carrera 68 No 13-37 </w:t>
    </w:r>
  </w:p>
  <w:p w:rsidR="00DD4A0E" w:rsidRDefault="00DD4A0E" w:rsidP="003F50E9">
    <w:pPr>
      <w:pStyle w:val="Piedepgina"/>
      <w:framePr w:w="2835" w:h="1395" w:hRule="exact" w:hSpace="142" w:wrap="around" w:vAnchor="text" w:hAnchor="page" w:x="1600" w:y="108"/>
      <w:tabs>
        <w:tab w:val="clear" w:pos="4419"/>
        <w:tab w:val="clear" w:pos="8838"/>
        <w:tab w:val="left" w:pos="3330"/>
      </w:tabs>
      <w:rPr>
        <w:sz w:val="16"/>
        <w:szCs w:val="16"/>
      </w:rPr>
    </w:pPr>
    <w:r>
      <w:rPr>
        <w:sz w:val="16"/>
        <w:szCs w:val="16"/>
      </w:rPr>
      <w:t>(Bogotá, D.C.)</w:t>
    </w:r>
  </w:p>
  <w:p w:rsidR="00DD4A0E" w:rsidRDefault="00DD4A0E" w:rsidP="003F50E9">
    <w:pPr>
      <w:pStyle w:val="Piedepgina"/>
      <w:framePr w:w="2835" w:h="1395" w:hRule="exact" w:hSpace="142" w:wrap="around" w:vAnchor="text" w:hAnchor="page" w:x="1600" w:y="108"/>
      <w:tabs>
        <w:tab w:val="clear" w:pos="4419"/>
        <w:tab w:val="clear" w:pos="8838"/>
        <w:tab w:val="left" w:pos="3330"/>
      </w:tabs>
      <w:rPr>
        <w:sz w:val="16"/>
        <w:szCs w:val="16"/>
      </w:rPr>
    </w:pPr>
  </w:p>
  <w:p w:rsidR="00DD4A0E" w:rsidRDefault="00DD4A0E" w:rsidP="003F50E9">
    <w:pPr>
      <w:pStyle w:val="Contenidodelatabla"/>
      <w:framePr w:w="2835" w:h="1395" w:hRule="exact" w:hSpace="142" w:wrap="around" w:vAnchor="text" w:hAnchor="page" w:x="1600" w:y="108"/>
      <w:rPr>
        <w:sz w:val="16"/>
        <w:szCs w:val="16"/>
      </w:rPr>
    </w:pPr>
    <w:r>
      <w:rPr>
        <w:sz w:val="16"/>
        <w:szCs w:val="16"/>
      </w:rPr>
      <w:t>Centro de Atención al Ciudadano</w:t>
    </w:r>
  </w:p>
  <w:p w:rsidR="00DD4A0E" w:rsidRDefault="00DD4A0E" w:rsidP="003F50E9">
    <w:pPr>
      <w:pStyle w:val="Contenidodelatabla"/>
      <w:framePr w:w="2835" w:h="1395" w:hRule="exact" w:hSpace="142" w:wrap="around" w:vAnchor="text" w:hAnchor="page" w:x="1600" w:y="108"/>
      <w:rPr>
        <w:sz w:val="16"/>
        <w:szCs w:val="16"/>
      </w:rPr>
    </w:pPr>
    <w:r>
      <w:rPr>
        <w:sz w:val="16"/>
        <w:szCs w:val="16"/>
      </w:rPr>
      <w:t>Calle 19 No 68A – 18 (Bogotá)</w:t>
    </w:r>
  </w:p>
  <w:p w:rsidR="00DD4A0E" w:rsidRDefault="00DD4A0E" w:rsidP="003F50E9">
    <w:pPr>
      <w:pStyle w:val="Piedepgina"/>
      <w:framePr w:w="2835" w:h="1395" w:hRule="exact" w:hSpace="142" w:wrap="around" w:vAnchor="text" w:hAnchor="page" w:x="1600" w:y="108"/>
      <w:tabs>
        <w:tab w:val="clear" w:pos="4419"/>
        <w:tab w:val="clear" w:pos="8838"/>
        <w:tab w:val="left" w:pos="3330"/>
      </w:tabs>
    </w:pPr>
    <w:r>
      <w:rPr>
        <w:sz w:val="16"/>
        <w:szCs w:val="16"/>
      </w:rPr>
      <w:t>Lunes a Viernes de 7:00 a.m. a 4:00 p.m.</w:t>
    </w:r>
  </w:p>
  <w:p w:rsidR="00DD4A0E" w:rsidRDefault="00DD4A0E" w:rsidP="003F50E9">
    <w:pPr>
      <w:pStyle w:val="Contenidodelatabla"/>
      <w:framePr w:w="2835" w:h="947" w:hSpace="142" w:wrap="around" w:vAnchor="text" w:hAnchor="page" w:x="4284" w:y="93"/>
      <w:rPr>
        <w:sz w:val="16"/>
        <w:szCs w:val="16"/>
      </w:rPr>
    </w:pPr>
    <w:r>
      <w:rPr>
        <w:sz w:val="16"/>
        <w:szCs w:val="16"/>
      </w:rPr>
      <w:t>Línea Gratuita Nacional: 018000 423 423</w:t>
    </w:r>
  </w:p>
  <w:p w:rsidR="00DD4A0E" w:rsidRDefault="00DD4A0E" w:rsidP="003F50E9">
    <w:pPr>
      <w:pStyle w:val="Contenidodelatabla"/>
      <w:framePr w:w="2835" w:h="947" w:hSpace="142" w:wrap="around" w:vAnchor="text" w:hAnchor="page" w:x="4284" w:y="93"/>
      <w:rPr>
        <w:sz w:val="16"/>
        <w:szCs w:val="16"/>
      </w:rPr>
    </w:pPr>
    <w:r>
      <w:rPr>
        <w:sz w:val="16"/>
        <w:szCs w:val="16"/>
      </w:rPr>
      <w:t>Línea fija en Bogotá: (1) 4926090</w:t>
    </w:r>
  </w:p>
  <w:p w:rsidR="00DD4A0E" w:rsidRDefault="00DD4A0E" w:rsidP="003F50E9">
    <w:pPr>
      <w:framePr w:w="2835" w:h="947" w:hSpace="142" w:wrap="around" w:vAnchor="text" w:hAnchor="page" w:x="4284" w:y="93"/>
    </w:pPr>
    <w:r>
      <w:rPr>
        <w:sz w:val="16"/>
        <w:szCs w:val="16"/>
      </w:rPr>
      <w:t>Lunes a viernes de 8:00 am a 6:00 pm.</w:t>
    </w:r>
  </w:p>
  <w:p w:rsidR="00DD4A0E" w:rsidRDefault="00DD4A0E" w:rsidP="00594F19">
    <w:pPr>
      <w:pStyle w:val="Piedepgina"/>
    </w:pPr>
    <w:r>
      <w:rPr>
        <w:noProof/>
        <w:lang w:eastAsia="es-CO"/>
      </w:rPr>
      <w:drawing>
        <wp:anchor distT="0" distB="0" distL="114300" distR="114300" simplePos="0" relativeHeight="251659264" behindDoc="1" locked="0" layoutInCell="1" allowOverlap="1" wp14:anchorId="08197735" wp14:editId="53FEDC5C">
          <wp:simplePos x="0" y="0"/>
          <wp:positionH relativeFrom="column">
            <wp:posOffset>3645535</wp:posOffset>
          </wp:positionH>
          <wp:positionV relativeFrom="paragraph">
            <wp:posOffset>106045</wp:posOffset>
          </wp:positionV>
          <wp:extent cx="2367915" cy="400050"/>
          <wp:effectExtent l="0" t="0" r="0" b="0"/>
          <wp:wrapThrough wrapText="bothSides">
            <wp:wrapPolygon edited="0">
              <wp:start x="0" y="0"/>
              <wp:lineTo x="0" y="20571"/>
              <wp:lineTo x="21374" y="20571"/>
              <wp:lineTo x="2137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VSVFSDU04\Tivit05$\TE_Data05\gjimenez\Downloads\logos-nuevo-gobierno-201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7915"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A0E" w:rsidRDefault="00DD4A0E">
      <w:pPr>
        <w:spacing w:after="0" w:line="240" w:lineRule="auto"/>
      </w:pPr>
      <w:r>
        <w:separator/>
      </w:r>
    </w:p>
  </w:footnote>
  <w:footnote w:type="continuationSeparator" w:id="0">
    <w:p w:rsidR="00DD4A0E" w:rsidRDefault="00DD4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0E" w:rsidRDefault="00DD4A0E">
    <w:pPr>
      <w:pStyle w:val="Encabezado"/>
    </w:pPr>
    <w:r>
      <w:rPr>
        <w:noProof/>
        <w:lang w:eastAsia="es-CO"/>
      </w:rPr>
      <w:drawing>
        <wp:inline distT="0" distB="0" distL="0" distR="0" wp14:anchorId="5DE6FA81" wp14:editId="01251EC1">
          <wp:extent cx="1704975"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F0E"/>
    <w:multiLevelType w:val="hybridMultilevel"/>
    <w:tmpl w:val="DAAC96AE"/>
    <w:lvl w:ilvl="0" w:tplc="081EA6A0">
      <w:start w:val="2"/>
      <w:numFmt w:val="decimal"/>
      <w:lvlText w:val="%1."/>
      <w:lvlJc w:val="left"/>
      <w:pPr>
        <w:ind w:left="928" w:hanging="360"/>
      </w:pPr>
      <w:rPr>
        <w:rFonts w:eastAsiaTheme="minorHAnsi" w:hint="default"/>
        <w:b w:val="0"/>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
    <w:nsid w:val="0A3B2EDA"/>
    <w:multiLevelType w:val="hybridMultilevel"/>
    <w:tmpl w:val="58845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1EF2F4E"/>
    <w:multiLevelType w:val="hybridMultilevel"/>
    <w:tmpl w:val="E77400BE"/>
    <w:lvl w:ilvl="0" w:tplc="850A7884">
      <w:start w:val="1"/>
      <w:numFmt w:val="decimal"/>
      <w:lvlText w:val="%1."/>
      <w:lvlJc w:val="left"/>
      <w:pPr>
        <w:ind w:left="927" w:hanging="360"/>
      </w:pPr>
      <w:rPr>
        <w:rFonts w:eastAsia="Calibri" w:hint="default"/>
        <w:sz w:val="18"/>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nsid w:val="12086670"/>
    <w:multiLevelType w:val="hybridMultilevel"/>
    <w:tmpl w:val="8B9A3C32"/>
    <w:lvl w:ilvl="0" w:tplc="24D8FCE6">
      <w:start w:val="1"/>
      <w:numFmt w:val="decimal"/>
      <w:lvlText w:val="%1-"/>
      <w:lvlJc w:val="left"/>
      <w:pPr>
        <w:ind w:left="972" w:hanging="360"/>
      </w:pPr>
      <w:rPr>
        <w:rFonts w:hint="default"/>
      </w:rPr>
    </w:lvl>
    <w:lvl w:ilvl="1" w:tplc="240A0019" w:tentative="1">
      <w:start w:val="1"/>
      <w:numFmt w:val="lowerLetter"/>
      <w:lvlText w:val="%2."/>
      <w:lvlJc w:val="left"/>
      <w:pPr>
        <w:ind w:left="1692" w:hanging="360"/>
      </w:pPr>
    </w:lvl>
    <w:lvl w:ilvl="2" w:tplc="240A001B" w:tentative="1">
      <w:start w:val="1"/>
      <w:numFmt w:val="lowerRoman"/>
      <w:lvlText w:val="%3."/>
      <w:lvlJc w:val="right"/>
      <w:pPr>
        <w:ind w:left="2412" w:hanging="180"/>
      </w:pPr>
    </w:lvl>
    <w:lvl w:ilvl="3" w:tplc="240A000F" w:tentative="1">
      <w:start w:val="1"/>
      <w:numFmt w:val="decimal"/>
      <w:lvlText w:val="%4."/>
      <w:lvlJc w:val="left"/>
      <w:pPr>
        <w:ind w:left="3132" w:hanging="360"/>
      </w:pPr>
    </w:lvl>
    <w:lvl w:ilvl="4" w:tplc="240A0019" w:tentative="1">
      <w:start w:val="1"/>
      <w:numFmt w:val="lowerLetter"/>
      <w:lvlText w:val="%5."/>
      <w:lvlJc w:val="left"/>
      <w:pPr>
        <w:ind w:left="3852" w:hanging="360"/>
      </w:pPr>
    </w:lvl>
    <w:lvl w:ilvl="5" w:tplc="240A001B" w:tentative="1">
      <w:start w:val="1"/>
      <w:numFmt w:val="lowerRoman"/>
      <w:lvlText w:val="%6."/>
      <w:lvlJc w:val="right"/>
      <w:pPr>
        <w:ind w:left="4572" w:hanging="180"/>
      </w:pPr>
    </w:lvl>
    <w:lvl w:ilvl="6" w:tplc="240A000F" w:tentative="1">
      <w:start w:val="1"/>
      <w:numFmt w:val="decimal"/>
      <w:lvlText w:val="%7."/>
      <w:lvlJc w:val="left"/>
      <w:pPr>
        <w:ind w:left="5292" w:hanging="360"/>
      </w:pPr>
    </w:lvl>
    <w:lvl w:ilvl="7" w:tplc="240A0019" w:tentative="1">
      <w:start w:val="1"/>
      <w:numFmt w:val="lowerLetter"/>
      <w:lvlText w:val="%8."/>
      <w:lvlJc w:val="left"/>
      <w:pPr>
        <w:ind w:left="6012" w:hanging="360"/>
      </w:pPr>
    </w:lvl>
    <w:lvl w:ilvl="8" w:tplc="240A001B" w:tentative="1">
      <w:start w:val="1"/>
      <w:numFmt w:val="lowerRoman"/>
      <w:lvlText w:val="%9."/>
      <w:lvlJc w:val="right"/>
      <w:pPr>
        <w:ind w:left="6732" w:hanging="180"/>
      </w:pPr>
    </w:lvl>
  </w:abstractNum>
  <w:abstractNum w:abstractNumId="4">
    <w:nsid w:val="126A1C6E"/>
    <w:multiLevelType w:val="multilevel"/>
    <w:tmpl w:val="EA207DD8"/>
    <w:lvl w:ilvl="0">
      <w:start w:val="1"/>
      <w:numFmt w:val="decimal"/>
      <w:lvlText w:val="%1."/>
      <w:lvlJc w:val="left"/>
      <w:pPr>
        <w:tabs>
          <w:tab w:val="num" w:pos="720"/>
        </w:tabs>
        <w:ind w:left="720" w:hanging="360"/>
      </w:pPr>
      <w:rPr>
        <w:rFonts w:ascii="Arial" w:hAnsi="Arial"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3497B"/>
    <w:multiLevelType w:val="hybridMultilevel"/>
    <w:tmpl w:val="09C8B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69E268C"/>
    <w:multiLevelType w:val="hybridMultilevel"/>
    <w:tmpl w:val="E5BC0F28"/>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3B061480"/>
    <w:multiLevelType w:val="hybridMultilevel"/>
    <w:tmpl w:val="F050EE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DD72BAD"/>
    <w:multiLevelType w:val="hybridMultilevel"/>
    <w:tmpl w:val="A880D358"/>
    <w:lvl w:ilvl="0" w:tplc="0C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9">
    <w:nsid w:val="4A027F87"/>
    <w:multiLevelType w:val="hybridMultilevel"/>
    <w:tmpl w:val="489E4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AC20E1C"/>
    <w:multiLevelType w:val="hybridMultilevel"/>
    <w:tmpl w:val="8CECC7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3724A36"/>
    <w:multiLevelType w:val="hybridMultilevel"/>
    <w:tmpl w:val="6CF8C930"/>
    <w:lvl w:ilvl="0" w:tplc="44EC7DBE">
      <w:start w:val="1"/>
      <w:numFmt w:val="upp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1186749"/>
    <w:multiLevelType w:val="hybridMultilevel"/>
    <w:tmpl w:val="55ECC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9"/>
  </w:num>
  <w:num w:numId="5">
    <w:abstractNumId w:val="4"/>
  </w:num>
  <w:num w:numId="6">
    <w:abstractNumId w:val="3"/>
  </w:num>
  <w:num w:numId="7">
    <w:abstractNumId w:val="8"/>
  </w:num>
  <w:num w:numId="8">
    <w:abstractNumId w:val="0"/>
  </w:num>
  <w:num w:numId="9">
    <w:abstractNumId w:val="2"/>
  </w:num>
  <w:num w:numId="10">
    <w:abstractNumId w:val="10"/>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ocumentProtection w:edit="readOnly"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B1"/>
    <w:rsid w:val="00010940"/>
    <w:rsid w:val="00010D65"/>
    <w:rsid w:val="000405EF"/>
    <w:rsid w:val="000454E0"/>
    <w:rsid w:val="000640D7"/>
    <w:rsid w:val="000959DC"/>
    <w:rsid w:val="0009616B"/>
    <w:rsid w:val="000B2BFC"/>
    <w:rsid w:val="000C6B30"/>
    <w:rsid w:val="000D6995"/>
    <w:rsid w:val="000F42FB"/>
    <w:rsid w:val="0011358D"/>
    <w:rsid w:val="00114C7F"/>
    <w:rsid w:val="00127983"/>
    <w:rsid w:val="001602D9"/>
    <w:rsid w:val="00162F30"/>
    <w:rsid w:val="001647F7"/>
    <w:rsid w:val="00165A12"/>
    <w:rsid w:val="00187729"/>
    <w:rsid w:val="001942BB"/>
    <w:rsid w:val="001A18D6"/>
    <w:rsid w:val="001A66AC"/>
    <w:rsid w:val="001B67BD"/>
    <w:rsid w:val="001E14AD"/>
    <w:rsid w:val="00201254"/>
    <w:rsid w:val="002018FA"/>
    <w:rsid w:val="00226A84"/>
    <w:rsid w:val="002271C7"/>
    <w:rsid w:val="00242CB6"/>
    <w:rsid w:val="00245DB6"/>
    <w:rsid w:val="0025249A"/>
    <w:rsid w:val="00283E0D"/>
    <w:rsid w:val="00290709"/>
    <w:rsid w:val="002C7AB2"/>
    <w:rsid w:val="002D5352"/>
    <w:rsid w:val="002E03E3"/>
    <w:rsid w:val="002E7F12"/>
    <w:rsid w:val="003138EB"/>
    <w:rsid w:val="00316D24"/>
    <w:rsid w:val="00316D7F"/>
    <w:rsid w:val="00321A00"/>
    <w:rsid w:val="00322769"/>
    <w:rsid w:val="00334AE5"/>
    <w:rsid w:val="00337E66"/>
    <w:rsid w:val="00344814"/>
    <w:rsid w:val="00344CDF"/>
    <w:rsid w:val="0034555D"/>
    <w:rsid w:val="00350BE0"/>
    <w:rsid w:val="00357207"/>
    <w:rsid w:val="00375B73"/>
    <w:rsid w:val="003A4D31"/>
    <w:rsid w:val="003A6AA4"/>
    <w:rsid w:val="003A6AAB"/>
    <w:rsid w:val="003B057C"/>
    <w:rsid w:val="003D272A"/>
    <w:rsid w:val="003D43A2"/>
    <w:rsid w:val="003D465A"/>
    <w:rsid w:val="003F50E9"/>
    <w:rsid w:val="00401F57"/>
    <w:rsid w:val="004102BF"/>
    <w:rsid w:val="00411FC6"/>
    <w:rsid w:val="00467558"/>
    <w:rsid w:val="00472498"/>
    <w:rsid w:val="00473599"/>
    <w:rsid w:val="004754AA"/>
    <w:rsid w:val="004808A1"/>
    <w:rsid w:val="004A334C"/>
    <w:rsid w:val="004B650C"/>
    <w:rsid w:val="004C2BCD"/>
    <w:rsid w:val="004C2D8D"/>
    <w:rsid w:val="004D4BC7"/>
    <w:rsid w:val="004D6CCB"/>
    <w:rsid w:val="005029C9"/>
    <w:rsid w:val="00522538"/>
    <w:rsid w:val="00522D9A"/>
    <w:rsid w:val="00525DAD"/>
    <w:rsid w:val="00530085"/>
    <w:rsid w:val="00555017"/>
    <w:rsid w:val="00556DEB"/>
    <w:rsid w:val="00560D18"/>
    <w:rsid w:val="0056612C"/>
    <w:rsid w:val="00574188"/>
    <w:rsid w:val="00574F51"/>
    <w:rsid w:val="00583FA5"/>
    <w:rsid w:val="005865D0"/>
    <w:rsid w:val="00594F19"/>
    <w:rsid w:val="005E398A"/>
    <w:rsid w:val="005E6B72"/>
    <w:rsid w:val="005E7955"/>
    <w:rsid w:val="00602BE0"/>
    <w:rsid w:val="00616B14"/>
    <w:rsid w:val="00651292"/>
    <w:rsid w:val="006709E2"/>
    <w:rsid w:val="006877E0"/>
    <w:rsid w:val="00693992"/>
    <w:rsid w:val="00697CA4"/>
    <w:rsid w:val="006A172A"/>
    <w:rsid w:val="006D6908"/>
    <w:rsid w:val="006E2328"/>
    <w:rsid w:val="00714648"/>
    <w:rsid w:val="00725EB6"/>
    <w:rsid w:val="00731909"/>
    <w:rsid w:val="007324EF"/>
    <w:rsid w:val="007351FE"/>
    <w:rsid w:val="00770F75"/>
    <w:rsid w:val="007A6933"/>
    <w:rsid w:val="007C75DC"/>
    <w:rsid w:val="007E219C"/>
    <w:rsid w:val="007E68B1"/>
    <w:rsid w:val="007F5233"/>
    <w:rsid w:val="00821327"/>
    <w:rsid w:val="00824D74"/>
    <w:rsid w:val="008308C4"/>
    <w:rsid w:val="00831F3C"/>
    <w:rsid w:val="00847E91"/>
    <w:rsid w:val="00893313"/>
    <w:rsid w:val="008A3E94"/>
    <w:rsid w:val="008A7370"/>
    <w:rsid w:val="008B2119"/>
    <w:rsid w:val="008C18DC"/>
    <w:rsid w:val="008F6713"/>
    <w:rsid w:val="00924241"/>
    <w:rsid w:val="009321E0"/>
    <w:rsid w:val="00933739"/>
    <w:rsid w:val="0094348F"/>
    <w:rsid w:val="00943491"/>
    <w:rsid w:val="009454FD"/>
    <w:rsid w:val="00951204"/>
    <w:rsid w:val="00953C9A"/>
    <w:rsid w:val="00954A2B"/>
    <w:rsid w:val="009908FF"/>
    <w:rsid w:val="009954EF"/>
    <w:rsid w:val="0099633C"/>
    <w:rsid w:val="009A04C0"/>
    <w:rsid w:val="009A4472"/>
    <w:rsid w:val="009A5B95"/>
    <w:rsid w:val="009C5A37"/>
    <w:rsid w:val="009E12B7"/>
    <w:rsid w:val="009E1D2C"/>
    <w:rsid w:val="00A1134C"/>
    <w:rsid w:val="00A13F81"/>
    <w:rsid w:val="00A31D37"/>
    <w:rsid w:val="00A36F58"/>
    <w:rsid w:val="00A63675"/>
    <w:rsid w:val="00A754C5"/>
    <w:rsid w:val="00A77BA8"/>
    <w:rsid w:val="00A81FDF"/>
    <w:rsid w:val="00A82EA2"/>
    <w:rsid w:val="00AA6240"/>
    <w:rsid w:val="00AD7B0F"/>
    <w:rsid w:val="00AE5DE8"/>
    <w:rsid w:val="00AF0D7F"/>
    <w:rsid w:val="00B02D41"/>
    <w:rsid w:val="00B05F7F"/>
    <w:rsid w:val="00B06204"/>
    <w:rsid w:val="00B151F0"/>
    <w:rsid w:val="00B2004A"/>
    <w:rsid w:val="00B21224"/>
    <w:rsid w:val="00B23106"/>
    <w:rsid w:val="00B43576"/>
    <w:rsid w:val="00B4623D"/>
    <w:rsid w:val="00B719FD"/>
    <w:rsid w:val="00B76B5E"/>
    <w:rsid w:val="00B836CC"/>
    <w:rsid w:val="00B92F4F"/>
    <w:rsid w:val="00BA12D7"/>
    <w:rsid w:val="00BA76F3"/>
    <w:rsid w:val="00BB0FBD"/>
    <w:rsid w:val="00BB3F56"/>
    <w:rsid w:val="00BC512A"/>
    <w:rsid w:val="00BF2671"/>
    <w:rsid w:val="00C039A0"/>
    <w:rsid w:val="00C1185B"/>
    <w:rsid w:val="00C1691D"/>
    <w:rsid w:val="00C327B9"/>
    <w:rsid w:val="00C37CCA"/>
    <w:rsid w:val="00C5462E"/>
    <w:rsid w:val="00C57239"/>
    <w:rsid w:val="00C57595"/>
    <w:rsid w:val="00C66135"/>
    <w:rsid w:val="00C71575"/>
    <w:rsid w:val="00C7332F"/>
    <w:rsid w:val="00C807B9"/>
    <w:rsid w:val="00C81168"/>
    <w:rsid w:val="00C83BE4"/>
    <w:rsid w:val="00C879A3"/>
    <w:rsid w:val="00CD05ED"/>
    <w:rsid w:val="00CF06B9"/>
    <w:rsid w:val="00CF3DDF"/>
    <w:rsid w:val="00CF7A46"/>
    <w:rsid w:val="00D049D5"/>
    <w:rsid w:val="00D06FB7"/>
    <w:rsid w:val="00D17367"/>
    <w:rsid w:val="00D215A1"/>
    <w:rsid w:val="00D31753"/>
    <w:rsid w:val="00D3422D"/>
    <w:rsid w:val="00D36C37"/>
    <w:rsid w:val="00D37C32"/>
    <w:rsid w:val="00D416B8"/>
    <w:rsid w:val="00D44AFB"/>
    <w:rsid w:val="00D57FA0"/>
    <w:rsid w:val="00D94770"/>
    <w:rsid w:val="00DA162A"/>
    <w:rsid w:val="00DA6A2D"/>
    <w:rsid w:val="00DB0393"/>
    <w:rsid w:val="00DB642D"/>
    <w:rsid w:val="00DC341F"/>
    <w:rsid w:val="00DD452E"/>
    <w:rsid w:val="00DD4A0E"/>
    <w:rsid w:val="00DE4199"/>
    <w:rsid w:val="00DE4959"/>
    <w:rsid w:val="00DF0DAE"/>
    <w:rsid w:val="00DF11B9"/>
    <w:rsid w:val="00E03170"/>
    <w:rsid w:val="00E05162"/>
    <w:rsid w:val="00E12A22"/>
    <w:rsid w:val="00E32B76"/>
    <w:rsid w:val="00E34CA0"/>
    <w:rsid w:val="00E5067E"/>
    <w:rsid w:val="00E506A5"/>
    <w:rsid w:val="00E656D0"/>
    <w:rsid w:val="00E7766C"/>
    <w:rsid w:val="00E8277E"/>
    <w:rsid w:val="00ED6388"/>
    <w:rsid w:val="00F00FC8"/>
    <w:rsid w:val="00F04782"/>
    <w:rsid w:val="00F06807"/>
    <w:rsid w:val="00F0731D"/>
    <w:rsid w:val="00F1180A"/>
    <w:rsid w:val="00F13FB6"/>
    <w:rsid w:val="00F17F43"/>
    <w:rsid w:val="00F270D4"/>
    <w:rsid w:val="00F27A9C"/>
    <w:rsid w:val="00F37975"/>
    <w:rsid w:val="00F45506"/>
    <w:rsid w:val="00F515D6"/>
    <w:rsid w:val="00F65418"/>
    <w:rsid w:val="00FD0716"/>
    <w:rsid w:val="00FE0532"/>
    <w:rsid w:val="00FE4DB4"/>
    <w:rsid w:val="00FE556C"/>
    <w:rsid w:val="00FE5F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F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51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51FE"/>
    <w:rPr>
      <w:rFonts w:ascii="Calibri" w:eastAsia="Calibri" w:hAnsi="Calibri" w:cs="Times New Roman"/>
    </w:rPr>
  </w:style>
  <w:style w:type="paragraph" w:styleId="Piedepgina">
    <w:name w:val="footer"/>
    <w:basedOn w:val="Normal"/>
    <w:link w:val="PiedepginaCar"/>
    <w:uiPriority w:val="99"/>
    <w:unhideWhenUsed/>
    <w:rsid w:val="007351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51FE"/>
    <w:rPr>
      <w:rFonts w:ascii="Calibri" w:eastAsia="Calibri" w:hAnsi="Calibri" w:cs="Times New Roman"/>
    </w:rPr>
  </w:style>
  <w:style w:type="paragraph" w:styleId="NormalWeb">
    <w:name w:val="Normal (Web)"/>
    <w:basedOn w:val="Normal"/>
    <w:uiPriority w:val="99"/>
    <w:unhideWhenUsed/>
    <w:rsid w:val="007351FE"/>
    <w:pPr>
      <w:spacing w:before="100" w:beforeAutospacing="1" w:after="119" w:line="240" w:lineRule="auto"/>
    </w:pPr>
    <w:rPr>
      <w:rFonts w:ascii="Times New Roman" w:eastAsia="Times New Roman" w:hAnsi="Times New Roman"/>
      <w:sz w:val="24"/>
      <w:szCs w:val="24"/>
      <w:lang w:eastAsia="es-CO"/>
    </w:rPr>
  </w:style>
  <w:style w:type="paragraph" w:customStyle="1" w:styleId="Contenidodelatabla">
    <w:name w:val="Contenido de la tabla"/>
    <w:basedOn w:val="Normal"/>
    <w:rsid w:val="007351FE"/>
    <w:pPr>
      <w:suppressLineNumbers/>
      <w:spacing w:after="0" w:line="100" w:lineRule="atLeast"/>
      <w:textAlignment w:val="baseline"/>
    </w:pPr>
    <w:rPr>
      <w:rFonts w:cs="Calibri"/>
      <w:sz w:val="20"/>
      <w:szCs w:val="20"/>
      <w:lang w:eastAsia="ar-SA"/>
    </w:rPr>
  </w:style>
  <w:style w:type="paragraph" w:styleId="Textodeglobo">
    <w:name w:val="Balloon Text"/>
    <w:basedOn w:val="Normal"/>
    <w:link w:val="TextodegloboCar"/>
    <w:uiPriority w:val="99"/>
    <w:semiHidden/>
    <w:unhideWhenUsed/>
    <w:rsid w:val="007351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1FE"/>
    <w:rPr>
      <w:rFonts w:ascii="Tahoma" w:eastAsia="Calibri" w:hAnsi="Tahoma" w:cs="Tahoma"/>
      <w:sz w:val="16"/>
      <w:szCs w:val="16"/>
    </w:rPr>
  </w:style>
  <w:style w:type="paragraph" w:styleId="Prrafodelista">
    <w:name w:val="List Paragraph"/>
    <w:basedOn w:val="Normal"/>
    <w:uiPriority w:val="34"/>
    <w:qFormat/>
    <w:rsid w:val="00337E66"/>
    <w:pPr>
      <w:ind w:left="720"/>
      <w:contextualSpacing/>
    </w:pPr>
  </w:style>
  <w:style w:type="character" w:styleId="Hipervnculo">
    <w:name w:val="Hyperlink"/>
    <w:basedOn w:val="Fuentedeprrafopredeter"/>
    <w:uiPriority w:val="99"/>
    <w:unhideWhenUsed/>
    <w:rsid w:val="00D31753"/>
    <w:rPr>
      <w:color w:val="0000FF" w:themeColor="hyperlink"/>
      <w:u w:val="single"/>
    </w:rPr>
  </w:style>
  <w:style w:type="paragraph" w:customStyle="1" w:styleId="Default">
    <w:name w:val="Default"/>
    <w:rsid w:val="00602BE0"/>
    <w:pPr>
      <w:autoSpaceDE w:val="0"/>
      <w:autoSpaceDN w:val="0"/>
      <w:adjustRightInd w:val="0"/>
      <w:spacing w:after="0" w:line="240" w:lineRule="auto"/>
    </w:pPr>
    <w:rPr>
      <w:rFonts w:ascii="Tahoma" w:hAnsi="Tahoma" w:cs="Tahoma"/>
      <w:color w:val="000000"/>
      <w:sz w:val="24"/>
      <w:szCs w:val="24"/>
    </w:rPr>
  </w:style>
  <w:style w:type="table" w:styleId="Tablaconcuadrcula">
    <w:name w:val="Table Grid"/>
    <w:basedOn w:val="Tablanormal"/>
    <w:uiPriority w:val="59"/>
    <w:rsid w:val="00283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F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51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51FE"/>
    <w:rPr>
      <w:rFonts w:ascii="Calibri" w:eastAsia="Calibri" w:hAnsi="Calibri" w:cs="Times New Roman"/>
    </w:rPr>
  </w:style>
  <w:style w:type="paragraph" w:styleId="Piedepgina">
    <w:name w:val="footer"/>
    <w:basedOn w:val="Normal"/>
    <w:link w:val="PiedepginaCar"/>
    <w:uiPriority w:val="99"/>
    <w:unhideWhenUsed/>
    <w:rsid w:val="007351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51FE"/>
    <w:rPr>
      <w:rFonts w:ascii="Calibri" w:eastAsia="Calibri" w:hAnsi="Calibri" w:cs="Times New Roman"/>
    </w:rPr>
  </w:style>
  <w:style w:type="paragraph" w:styleId="NormalWeb">
    <w:name w:val="Normal (Web)"/>
    <w:basedOn w:val="Normal"/>
    <w:uiPriority w:val="99"/>
    <w:unhideWhenUsed/>
    <w:rsid w:val="007351FE"/>
    <w:pPr>
      <w:spacing w:before="100" w:beforeAutospacing="1" w:after="119" w:line="240" w:lineRule="auto"/>
    </w:pPr>
    <w:rPr>
      <w:rFonts w:ascii="Times New Roman" w:eastAsia="Times New Roman" w:hAnsi="Times New Roman"/>
      <w:sz w:val="24"/>
      <w:szCs w:val="24"/>
      <w:lang w:eastAsia="es-CO"/>
    </w:rPr>
  </w:style>
  <w:style w:type="paragraph" w:customStyle="1" w:styleId="Contenidodelatabla">
    <w:name w:val="Contenido de la tabla"/>
    <w:basedOn w:val="Normal"/>
    <w:rsid w:val="007351FE"/>
    <w:pPr>
      <w:suppressLineNumbers/>
      <w:spacing w:after="0" w:line="100" w:lineRule="atLeast"/>
      <w:textAlignment w:val="baseline"/>
    </w:pPr>
    <w:rPr>
      <w:rFonts w:cs="Calibri"/>
      <w:sz w:val="20"/>
      <w:szCs w:val="20"/>
      <w:lang w:eastAsia="ar-SA"/>
    </w:rPr>
  </w:style>
  <w:style w:type="paragraph" w:styleId="Textodeglobo">
    <w:name w:val="Balloon Text"/>
    <w:basedOn w:val="Normal"/>
    <w:link w:val="TextodegloboCar"/>
    <w:uiPriority w:val="99"/>
    <w:semiHidden/>
    <w:unhideWhenUsed/>
    <w:rsid w:val="007351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1FE"/>
    <w:rPr>
      <w:rFonts w:ascii="Tahoma" w:eastAsia="Calibri" w:hAnsi="Tahoma" w:cs="Tahoma"/>
      <w:sz w:val="16"/>
      <w:szCs w:val="16"/>
    </w:rPr>
  </w:style>
  <w:style w:type="paragraph" w:styleId="Prrafodelista">
    <w:name w:val="List Paragraph"/>
    <w:basedOn w:val="Normal"/>
    <w:uiPriority w:val="34"/>
    <w:qFormat/>
    <w:rsid w:val="00337E66"/>
    <w:pPr>
      <w:ind w:left="720"/>
      <w:contextualSpacing/>
    </w:pPr>
  </w:style>
  <w:style w:type="character" w:styleId="Hipervnculo">
    <w:name w:val="Hyperlink"/>
    <w:basedOn w:val="Fuentedeprrafopredeter"/>
    <w:uiPriority w:val="99"/>
    <w:unhideWhenUsed/>
    <w:rsid w:val="00D31753"/>
    <w:rPr>
      <w:color w:val="0000FF" w:themeColor="hyperlink"/>
      <w:u w:val="single"/>
    </w:rPr>
  </w:style>
  <w:style w:type="paragraph" w:customStyle="1" w:styleId="Default">
    <w:name w:val="Default"/>
    <w:rsid w:val="00602BE0"/>
    <w:pPr>
      <w:autoSpaceDE w:val="0"/>
      <w:autoSpaceDN w:val="0"/>
      <w:adjustRightInd w:val="0"/>
      <w:spacing w:after="0" w:line="240" w:lineRule="auto"/>
    </w:pPr>
    <w:rPr>
      <w:rFonts w:ascii="Tahoma" w:hAnsi="Tahoma" w:cs="Tahoma"/>
      <w:color w:val="000000"/>
      <w:sz w:val="24"/>
      <w:szCs w:val="24"/>
    </w:rPr>
  </w:style>
  <w:style w:type="table" w:styleId="Tablaconcuadrcula">
    <w:name w:val="Table Grid"/>
    <w:basedOn w:val="Tablanormal"/>
    <w:uiPriority w:val="59"/>
    <w:rsid w:val="00283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618896">
      <w:bodyDiv w:val="1"/>
      <w:marLeft w:val="0"/>
      <w:marRight w:val="0"/>
      <w:marTop w:val="0"/>
      <w:marBottom w:val="0"/>
      <w:divBdr>
        <w:top w:val="none" w:sz="0" w:space="0" w:color="auto"/>
        <w:left w:val="none" w:sz="0" w:space="0" w:color="auto"/>
        <w:bottom w:val="none" w:sz="0" w:space="0" w:color="auto"/>
        <w:right w:val="none" w:sz="0" w:space="0" w:color="auto"/>
      </w:divBdr>
    </w:div>
    <w:div w:id="18233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pp.gov.co/nuestra-entidad/proyectos-normativ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ruz\AppData\Local\Temp\Plantilla%20Oficio%20Radicacion%20Masiva%20Sede%20DSIA%20Firma%20Manual%20Tama&#241;o%20Carta_UGPP_V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Oficio Radicacion Masiva Sede DSIA Firma Manual Tamaño Carta_UGPP_V2-1</Template>
  <TotalTime>2</TotalTime>
  <Pages>4</Pages>
  <Words>1127</Words>
  <Characters>6202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ANDRES CRUZ PULIDO</dc:creator>
  <cp:lastModifiedBy>CLAUDIA ALEJANDRA CAICEDO BORRAS</cp:lastModifiedBy>
  <cp:revision>2</cp:revision>
  <dcterms:created xsi:type="dcterms:W3CDTF">2019-11-15T22:27:00Z</dcterms:created>
  <dcterms:modified xsi:type="dcterms:W3CDTF">2019-11-15T22:27:00Z</dcterms:modified>
</cp:coreProperties>
</file>