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53AE" w14:textId="77777777" w:rsidR="009F6950" w:rsidRPr="00B44C92" w:rsidRDefault="009F6950" w:rsidP="00765576">
      <w:pPr>
        <w:pStyle w:val="Textoindependiente"/>
        <w:widowControl/>
        <w:jc w:val="center"/>
        <w:rPr>
          <w:b/>
          <w:sz w:val="22"/>
          <w:szCs w:val="22"/>
        </w:rPr>
      </w:pPr>
    </w:p>
    <w:p w14:paraId="27EF48B9" w14:textId="5DD4662F" w:rsidR="009F6950" w:rsidRPr="00B44C92" w:rsidRDefault="009F6950" w:rsidP="00765576">
      <w:pPr>
        <w:pStyle w:val="Textoindependiente"/>
        <w:widowControl/>
        <w:jc w:val="center"/>
        <w:rPr>
          <w:b/>
          <w:sz w:val="22"/>
          <w:szCs w:val="22"/>
        </w:rPr>
      </w:pPr>
      <w:r w:rsidRPr="00B44C92">
        <w:rPr>
          <w:b/>
          <w:sz w:val="22"/>
          <w:szCs w:val="22"/>
        </w:rPr>
        <w:t>SOPORTE TECNICO</w:t>
      </w:r>
    </w:p>
    <w:p w14:paraId="023AE9F6" w14:textId="77777777" w:rsidR="00B867E2" w:rsidRPr="00B44C92" w:rsidRDefault="00B867E2" w:rsidP="00B867E2">
      <w:pPr>
        <w:pStyle w:val="Default"/>
        <w:rPr>
          <w:b/>
          <w:sz w:val="22"/>
          <w:szCs w:val="22"/>
        </w:rPr>
      </w:pPr>
      <w:bookmarkStart w:id="0" w:name="_Hlk79967118"/>
    </w:p>
    <w:p w14:paraId="287C00A7" w14:textId="77777777" w:rsidR="00B867E2" w:rsidRPr="00B44C92" w:rsidRDefault="009F6950" w:rsidP="00B867E2">
      <w:pPr>
        <w:pStyle w:val="Default"/>
        <w:jc w:val="center"/>
        <w:rPr>
          <w:b/>
          <w:sz w:val="22"/>
          <w:szCs w:val="22"/>
        </w:rPr>
      </w:pPr>
      <w:r w:rsidRPr="00B44C92">
        <w:rPr>
          <w:b/>
          <w:sz w:val="22"/>
          <w:szCs w:val="22"/>
        </w:rPr>
        <w:t xml:space="preserve">PROYECTO MODIFICACION DE LA RESOLUCION </w:t>
      </w:r>
      <w:r w:rsidR="00B867E2" w:rsidRPr="00B44C92">
        <w:rPr>
          <w:b/>
          <w:sz w:val="22"/>
          <w:szCs w:val="22"/>
        </w:rPr>
        <w:t xml:space="preserve">1127 </w:t>
      </w:r>
      <w:r w:rsidRPr="00B44C92">
        <w:rPr>
          <w:b/>
          <w:sz w:val="22"/>
          <w:szCs w:val="22"/>
        </w:rPr>
        <w:t>DE</w:t>
      </w:r>
      <w:r w:rsidR="00B867E2" w:rsidRPr="00B44C92">
        <w:rPr>
          <w:b/>
          <w:sz w:val="22"/>
          <w:szCs w:val="22"/>
        </w:rPr>
        <w:t>L 31 DE DICIEMBRE DE</w:t>
      </w:r>
      <w:r w:rsidRPr="00B44C92">
        <w:rPr>
          <w:b/>
          <w:sz w:val="22"/>
          <w:szCs w:val="22"/>
        </w:rPr>
        <w:t xml:space="preserve"> </w:t>
      </w:r>
      <w:r w:rsidR="00B867E2" w:rsidRPr="00B44C92">
        <w:rPr>
          <w:b/>
          <w:sz w:val="22"/>
          <w:szCs w:val="22"/>
        </w:rPr>
        <w:t>2020</w:t>
      </w:r>
      <w:bookmarkEnd w:id="0"/>
      <w:r w:rsidR="00B867E2" w:rsidRPr="00B44C92">
        <w:rPr>
          <w:b/>
          <w:sz w:val="22"/>
          <w:szCs w:val="22"/>
        </w:rPr>
        <w:t>.</w:t>
      </w:r>
    </w:p>
    <w:p w14:paraId="459E4A6D" w14:textId="77777777" w:rsidR="00B867E2" w:rsidRPr="00B44C92" w:rsidRDefault="00B867E2" w:rsidP="00B44C92">
      <w:pPr>
        <w:pStyle w:val="Textoindependiente"/>
        <w:widowControl/>
        <w:rPr>
          <w:b/>
          <w:sz w:val="22"/>
          <w:szCs w:val="22"/>
        </w:rPr>
      </w:pPr>
    </w:p>
    <w:p w14:paraId="2E7C09EF" w14:textId="6795DA88" w:rsidR="009F6950" w:rsidRPr="00B44C92" w:rsidRDefault="009F6950" w:rsidP="00765576">
      <w:pPr>
        <w:pStyle w:val="Textoindependiente"/>
        <w:widowControl/>
        <w:jc w:val="center"/>
        <w:rPr>
          <w:b/>
          <w:sz w:val="22"/>
          <w:szCs w:val="22"/>
        </w:rPr>
      </w:pPr>
    </w:p>
    <w:p w14:paraId="1B7CCCAF" w14:textId="4ACDDCE4" w:rsidR="009F6950" w:rsidRPr="00B44C92" w:rsidRDefault="009F6950" w:rsidP="009F6950">
      <w:pPr>
        <w:pStyle w:val="Textoindependiente"/>
        <w:numPr>
          <w:ilvl w:val="0"/>
          <w:numId w:val="11"/>
        </w:numPr>
        <w:rPr>
          <w:b/>
          <w:sz w:val="22"/>
          <w:szCs w:val="22"/>
        </w:rPr>
      </w:pPr>
      <w:r w:rsidRPr="00B44C92">
        <w:rPr>
          <w:b/>
          <w:sz w:val="22"/>
          <w:szCs w:val="22"/>
        </w:rPr>
        <w:t>ANTECEDENTES Y LAS RAZONES DE OPORTUNIDAD Y CONVENIENCIA QUE JUSTIFICAN LA EXPEDICIÓN DE LA NORMA.</w:t>
      </w:r>
    </w:p>
    <w:p w14:paraId="569FEF3E" w14:textId="50AA0440" w:rsidR="009F6950" w:rsidRPr="00B44C92" w:rsidRDefault="009F6950" w:rsidP="009F6950">
      <w:pPr>
        <w:pStyle w:val="Textoindependiente"/>
        <w:rPr>
          <w:b/>
          <w:sz w:val="22"/>
          <w:szCs w:val="22"/>
        </w:rPr>
      </w:pPr>
    </w:p>
    <w:p w14:paraId="52152F73" w14:textId="5288F67D" w:rsidR="00B867E2" w:rsidRPr="00B44C92" w:rsidRDefault="006241D6" w:rsidP="00D260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B44C92">
        <w:rPr>
          <w:sz w:val="22"/>
          <w:szCs w:val="22"/>
        </w:rPr>
        <w:t>n el año 2020</w:t>
      </w:r>
      <w:r>
        <w:rPr>
          <w:sz w:val="22"/>
          <w:szCs w:val="22"/>
        </w:rPr>
        <w:t>,</w:t>
      </w:r>
      <w:r w:rsidRPr="00B44C92">
        <w:rPr>
          <w:sz w:val="22"/>
          <w:szCs w:val="22"/>
        </w:rPr>
        <w:t xml:space="preserve"> </w:t>
      </w:r>
      <w:r w:rsidR="00521AB2">
        <w:rPr>
          <w:sz w:val="22"/>
          <w:szCs w:val="22"/>
        </w:rPr>
        <w:t>l</w:t>
      </w:r>
      <w:r w:rsidR="009F6950" w:rsidRPr="00B44C92">
        <w:rPr>
          <w:sz w:val="22"/>
          <w:szCs w:val="22"/>
        </w:rPr>
        <w:t xml:space="preserve">a </w:t>
      </w:r>
      <w:r w:rsidR="00C53359" w:rsidRPr="00B44C92">
        <w:rPr>
          <w:sz w:val="22"/>
          <w:szCs w:val="22"/>
        </w:rPr>
        <w:t xml:space="preserve">Unidad expidió la </w:t>
      </w:r>
      <w:r w:rsidR="009F6950" w:rsidRPr="00B44C92">
        <w:rPr>
          <w:sz w:val="22"/>
          <w:szCs w:val="22"/>
        </w:rPr>
        <w:t xml:space="preserve">Resolución </w:t>
      </w:r>
      <w:r w:rsidR="00B867E2" w:rsidRPr="00B44C92">
        <w:rPr>
          <w:sz w:val="22"/>
          <w:szCs w:val="22"/>
        </w:rPr>
        <w:t>1127 mediante la cual</w:t>
      </w:r>
      <w:r w:rsidR="009F6950" w:rsidRPr="00B44C92">
        <w:rPr>
          <w:sz w:val="22"/>
          <w:szCs w:val="22"/>
        </w:rPr>
        <w:t xml:space="preserve"> </w:t>
      </w:r>
      <w:r>
        <w:rPr>
          <w:sz w:val="22"/>
          <w:szCs w:val="22"/>
        </w:rPr>
        <w:t>fijó</w:t>
      </w:r>
      <w:r w:rsidRPr="00B44C92">
        <w:rPr>
          <w:sz w:val="22"/>
          <w:szCs w:val="22"/>
        </w:rPr>
        <w:t xml:space="preserve"> </w:t>
      </w:r>
      <w:r w:rsidR="00B867E2" w:rsidRPr="00B44C92">
        <w:rPr>
          <w:sz w:val="22"/>
          <w:szCs w:val="22"/>
        </w:rPr>
        <w:t>el contenido y características técnicas de la información</w:t>
      </w:r>
      <w:r w:rsidR="00D260FE" w:rsidRPr="00B44C92">
        <w:rPr>
          <w:sz w:val="22"/>
          <w:szCs w:val="22"/>
        </w:rPr>
        <w:t xml:space="preserve"> que deb</w:t>
      </w:r>
      <w:r>
        <w:rPr>
          <w:sz w:val="22"/>
          <w:szCs w:val="22"/>
        </w:rPr>
        <w:t xml:space="preserve">en reportar </w:t>
      </w:r>
      <w:r w:rsidR="00D260FE" w:rsidRPr="00B44C92">
        <w:rPr>
          <w:sz w:val="22"/>
          <w:szCs w:val="22"/>
          <w:lang w:val="es-ES"/>
        </w:rPr>
        <w:t>las administradoras del Sistema incluyendo los regímenes especiales y de excepción</w:t>
      </w:r>
      <w:r w:rsidR="00B867E2" w:rsidRPr="00B44C92">
        <w:rPr>
          <w:sz w:val="22"/>
          <w:szCs w:val="22"/>
        </w:rPr>
        <w:t xml:space="preserve">, </w:t>
      </w:r>
      <w:r w:rsidR="00D260FE" w:rsidRPr="00B44C92">
        <w:rPr>
          <w:sz w:val="22"/>
          <w:szCs w:val="22"/>
        </w:rPr>
        <w:t xml:space="preserve">con la finalidad de que el </w:t>
      </w:r>
      <w:r w:rsidR="00EF34BF" w:rsidRPr="00B44C92">
        <w:rPr>
          <w:sz w:val="22"/>
          <w:szCs w:val="22"/>
        </w:rPr>
        <w:t>Registro Único de Aportantes-RUA</w:t>
      </w:r>
      <w:r w:rsidR="00D260FE" w:rsidRPr="00B44C92">
        <w:rPr>
          <w:sz w:val="22"/>
          <w:szCs w:val="22"/>
        </w:rPr>
        <w:t xml:space="preserve">, administrado por la Unidad, se constituyera en una herramienta para el control del cumplimiento de las obligaciones que la ley establece en materia del </w:t>
      </w:r>
      <w:r>
        <w:rPr>
          <w:sz w:val="22"/>
          <w:szCs w:val="22"/>
        </w:rPr>
        <w:t>S</w:t>
      </w:r>
      <w:r w:rsidR="00D260FE" w:rsidRPr="00B44C92">
        <w:rPr>
          <w:sz w:val="22"/>
          <w:szCs w:val="22"/>
        </w:rPr>
        <w:t>istema de la Protección Social.</w:t>
      </w:r>
    </w:p>
    <w:p w14:paraId="1CFDE8A9" w14:textId="77777777" w:rsidR="00D260FE" w:rsidRPr="00B44C92" w:rsidRDefault="00D260FE" w:rsidP="00D260FE">
      <w:pPr>
        <w:pStyle w:val="Default"/>
        <w:jc w:val="both"/>
        <w:rPr>
          <w:sz w:val="22"/>
          <w:szCs w:val="22"/>
        </w:rPr>
      </w:pPr>
    </w:p>
    <w:p w14:paraId="7D771D16" w14:textId="77777777" w:rsidR="00D260FE" w:rsidRPr="00B44C92" w:rsidRDefault="00D260FE" w:rsidP="00D260FE">
      <w:pPr>
        <w:pStyle w:val="Default"/>
        <w:jc w:val="both"/>
        <w:rPr>
          <w:sz w:val="22"/>
          <w:szCs w:val="22"/>
        </w:rPr>
      </w:pPr>
      <w:r w:rsidRPr="00B44C92">
        <w:rPr>
          <w:sz w:val="22"/>
          <w:szCs w:val="22"/>
        </w:rPr>
        <w:t xml:space="preserve">En </w:t>
      </w:r>
      <w:r w:rsidR="00C06E45" w:rsidRPr="00B44C92">
        <w:rPr>
          <w:sz w:val="22"/>
          <w:szCs w:val="22"/>
        </w:rPr>
        <w:t xml:space="preserve">esta oportunidad se </w:t>
      </w:r>
      <w:r w:rsidR="009F6950" w:rsidRPr="00B44C92">
        <w:rPr>
          <w:sz w:val="22"/>
          <w:szCs w:val="22"/>
        </w:rPr>
        <w:t>requiere modificar</w:t>
      </w:r>
      <w:r w:rsidR="00C06E45" w:rsidRPr="00B44C92">
        <w:rPr>
          <w:sz w:val="22"/>
          <w:szCs w:val="22"/>
        </w:rPr>
        <w:t xml:space="preserve"> </w:t>
      </w:r>
      <w:r w:rsidRPr="00B44C92">
        <w:rPr>
          <w:sz w:val="22"/>
          <w:szCs w:val="22"/>
        </w:rPr>
        <w:t xml:space="preserve">la citada resolución </w:t>
      </w:r>
      <w:r w:rsidR="009F6950" w:rsidRPr="00B44C92">
        <w:rPr>
          <w:sz w:val="22"/>
          <w:szCs w:val="22"/>
        </w:rPr>
        <w:t xml:space="preserve">por las siguientes razones:  </w:t>
      </w:r>
    </w:p>
    <w:p w14:paraId="6DBE78F2" w14:textId="77777777" w:rsidR="00D260FE" w:rsidRPr="00B44C92" w:rsidRDefault="00D260FE" w:rsidP="00F43D3F">
      <w:pPr>
        <w:pStyle w:val="Default"/>
        <w:jc w:val="both"/>
        <w:rPr>
          <w:sz w:val="22"/>
          <w:szCs w:val="22"/>
        </w:rPr>
      </w:pPr>
    </w:p>
    <w:p w14:paraId="22A44737" w14:textId="6365E454" w:rsidR="00F3105E" w:rsidRPr="00B44C92" w:rsidRDefault="00EF34BF" w:rsidP="00F43D3F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B44C92">
        <w:rPr>
          <w:sz w:val="22"/>
          <w:szCs w:val="22"/>
        </w:rPr>
        <w:t>E</w:t>
      </w:r>
      <w:r w:rsidR="00F3105E" w:rsidRPr="00B44C92">
        <w:rPr>
          <w:sz w:val="22"/>
          <w:szCs w:val="22"/>
        </w:rPr>
        <w:t xml:space="preserve">xcluir </w:t>
      </w:r>
      <w:r w:rsidRPr="00B44C92">
        <w:rPr>
          <w:sz w:val="22"/>
          <w:szCs w:val="22"/>
        </w:rPr>
        <w:t xml:space="preserve">a los regímenes especiales y de excepción de la obligación de </w:t>
      </w:r>
      <w:r w:rsidR="00F3105E" w:rsidRPr="00B44C92">
        <w:rPr>
          <w:sz w:val="22"/>
          <w:szCs w:val="22"/>
        </w:rPr>
        <w:t>suministrar la información</w:t>
      </w:r>
      <w:r w:rsidRPr="00B44C92">
        <w:rPr>
          <w:sz w:val="22"/>
          <w:szCs w:val="22"/>
        </w:rPr>
        <w:t xml:space="preserve"> con destino al Registro Único de Aportantes-RUA</w:t>
      </w:r>
      <w:r w:rsidR="00F3105E" w:rsidRPr="00B44C92">
        <w:rPr>
          <w:sz w:val="22"/>
          <w:szCs w:val="22"/>
        </w:rPr>
        <w:t xml:space="preserve">, debido a que la Unidad </w:t>
      </w:r>
      <w:r w:rsidRPr="00B44C92">
        <w:rPr>
          <w:sz w:val="22"/>
          <w:szCs w:val="22"/>
        </w:rPr>
        <w:t xml:space="preserve">pudo verificar que </w:t>
      </w:r>
      <w:r w:rsidR="00F3105E" w:rsidRPr="00B44C92">
        <w:rPr>
          <w:sz w:val="22"/>
          <w:szCs w:val="22"/>
        </w:rPr>
        <w:t xml:space="preserve">tiene acceso a dicha información a través del </w:t>
      </w:r>
      <w:bookmarkStart w:id="1" w:name="_Hlk94852916"/>
      <w:r w:rsidR="00F3105E" w:rsidRPr="00B44C92">
        <w:rPr>
          <w:sz w:val="22"/>
          <w:szCs w:val="22"/>
        </w:rPr>
        <w:t>Registro Único de Afiliados RUAF</w:t>
      </w:r>
      <w:bookmarkEnd w:id="1"/>
      <w:r w:rsidR="00FE333A" w:rsidRPr="00B44C92">
        <w:rPr>
          <w:sz w:val="22"/>
          <w:szCs w:val="22"/>
        </w:rPr>
        <w:t>.</w:t>
      </w:r>
    </w:p>
    <w:p w14:paraId="42AF0371" w14:textId="77777777" w:rsidR="00F3105E" w:rsidRPr="00B44C92" w:rsidRDefault="00F3105E" w:rsidP="00F43D3F">
      <w:pPr>
        <w:pStyle w:val="Default"/>
        <w:jc w:val="both"/>
        <w:rPr>
          <w:sz w:val="22"/>
          <w:szCs w:val="22"/>
        </w:rPr>
      </w:pPr>
    </w:p>
    <w:p w14:paraId="5E06D412" w14:textId="3564542D" w:rsidR="00EF34BF" w:rsidRPr="00B44C92" w:rsidRDefault="00EF34BF" w:rsidP="00F43D3F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B44C92">
        <w:rPr>
          <w:sz w:val="22"/>
          <w:szCs w:val="22"/>
        </w:rPr>
        <w:t>Implementar un</w:t>
      </w:r>
      <w:r w:rsidR="00BA6E7A" w:rsidRPr="00B44C92">
        <w:rPr>
          <w:sz w:val="22"/>
          <w:szCs w:val="22"/>
        </w:rPr>
        <w:t xml:space="preserve"> anexo técnico que</w:t>
      </w:r>
      <w:r w:rsidRPr="00B44C92">
        <w:rPr>
          <w:sz w:val="22"/>
          <w:szCs w:val="22"/>
        </w:rPr>
        <w:t xml:space="preserve"> consolide las características técnicas y actualice las estructuras de los formularios implementados para remitir la información, para facilitar el cumplimiento de los reportes</w:t>
      </w:r>
      <w:r w:rsidR="00F43D3F" w:rsidRPr="00B44C92">
        <w:rPr>
          <w:sz w:val="22"/>
          <w:szCs w:val="22"/>
        </w:rPr>
        <w:t xml:space="preserve"> por parte de los obligados.</w:t>
      </w:r>
    </w:p>
    <w:p w14:paraId="4D262A64" w14:textId="77777777" w:rsidR="00EF34BF" w:rsidRPr="00B44C92" w:rsidRDefault="00EF34BF" w:rsidP="00F43D3F">
      <w:pPr>
        <w:pStyle w:val="Default"/>
        <w:jc w:val="both"/>
        <w:rPr>
          <w:rFonts w:eastAsia="Times New Roman"/>
          <w:color w:val="000000" w:themeColor="text1"/>
          <w:sz w:val="22"/>
          <w:szCs w:val="22"/>
          <w:lang w:eastAsia="es-ES"/>
        </w:rPr>
      </w:pPr>
    </w:p>
    <w:p w14:paraId="50A4A337" w14:textId="1C1C612E" w:rsidR="000A3C88" w:rsidRPr="00B44C92" w:rsidRDefault="0056510F" w:rsidP="00F43D3F">
      <w:pPr>
        <w:pStyle w:val="Default"/>
        <w:numPr>
          <w:ilvl w:val="0"/>
          <w:numId w:val="12"/>
        </w:numPr>
        <w:jc w:val="both"/>
        <w:rPr>
          <w:rFonts w:eastAsia="Times New Roman"/>
          <w:color w:val="000000" w:themeColor="text1"/>
          <w:sz w:val="22"/>
          <w:szCs w:val="22"/>
          <w:lang w:eastAsia="es-ES"/>
        </w:rPr>
      </w:pPr>
      <w:r w:rsidRPr="00B44C92">
        <w:rPr>
          <w:sz w:val="22"/>
          <w:szCs w:val="22"/>
        </w:rPr>
        <w:t xml:space="preserve">Incorporar la </w:t>
      </w:r>
      <w:r w:rsidR="00C73DED" w:rsidRPr="00B44C92">
        <w:rPr>
          <w:sz w:val="22"/>
          <w:szCs w:val="22"/>
        </w:rPr>
        <w:t xml:space="preserve">conveniencia de establecer que el anexo técnico que hace parte de la </w:t>
      </w:r>
      <w:r w:rsidR="00F43D3F" w:rsidRPr="00B44C92">
        <w:rPr>
          <w:sz w:val="22"/>
          <w:szCs w:val="22"/>
        </w:rPr>
        <w:t>resolución</w:t>
      </w:r>
      <w:r w:rsidR="000D6F37">
        <w:rPr>
          <w:sz w:val="22"/>
          <w:szCs w:val="22"/>
        </w:rPr>
        <w:t>, además de ser de obligatorio cumplimiento,</w:t>
      </w:r>
      <w:r w:rsidR="00C73DED" w:rsidRPr="00B44C92">
        <w:rPr>
          <w:sz w:val="22"/>
          <w:szCs w:val="22"/>
        </w:rPr>
        <w:t xml:space="preserve"> pued</w:t>
      </w:r>
      <w:r w:rsidR="000D6F37">
        <w:rPr>
          <w:sz w:val="22"/>
          <w:szCs w:val="22"/>
        </w:rPr>
        <w:t>e</w:t>
      </w:r>
      <w:r w:rsidR="00C73DED" w:rsidRPr="00B44C92">
        <w:rPr>
          <w:sz w:val="22"/>
          <w:szCs w:val="22"/>
        </w:rPr>
        <w:t xml:space="preserve"> ser modificado </w:t>
      </w:r>
      <w:r w:rsidRPr="00B44C92">
        <w:rPr>
          <w:sz w:val="22"/>
          <w:szCs w:val="22"/>
        </w:rPr>
        <w:t xml:space="preserve">por el </w:t>
      </w:r>
      <w:proofErr w:type="gramStart"/>
      <w:r w:rsidRPr="00B44C92">
        <w:rPr>
          <w:sz w:val="22"/>
          <w:szCs w:val="22"/>
        </w:rPr>
        <w:t>Director</w:t>
      </w:r>
      <w:proofErr w:type="gramEnd"/>
      <w:r w:rsidRPr="00B44C92">
        <w:rPr>
          <w:sz w:val="22"/>
          <w:szCs w:val="22"/>
        </w:rPr>
        <w:t xml:space="preserve"> </w:t>
      </w:r>
      <w:r w:rsidR="00F43D3F" w:rsidRPr="00B44C92">
        <w:rPr>
          <w:sz w:val="22"/>
          <w:szCs w:val="22"/>
        </w:rPr>
        <w:t>de Parafiscales</w:t>
      </w:r>
      <w:r w:rsidRPr="00B44C92">
        <w:rPr>
          <w:sz w:val="22"/>
          <w:szCs w:val="22"/>
        </w:rPr>
        <w:t xml:space="preserve"> por razones estrictamente </w:t>
      </w:r>
      <w:r w:rsidR="000D6F37" w:rsidRPr="00B44C92">
        <w:rPr>
          <w:sz w:val="22"/>
          <w:szCs w:val="22"/>
        </w:rPr>
        <w:t>t</w:t>
      </w:r>
      <w:r w:rsidR="000D6F37">
        <w:rPr>
          <w:sz w:val="22"/>
          <w:szCs w:val="22"/>
        </w:rPr>
        <w:t>é</w:t>
      </w:r>
      <w:r w:rsidR="000D6F37" w:rsidRPr="00B44C92">
        <w:rPr>
          <w:sz w:val="22"/>
          <w:szCs w:val="22"/>
        </w:rPr>
        <w:t>cn</w:t>
      </w:r>
      <w:r w:rsidR="000D6F37">
        <w:rPr>
          <w:sz w:val="22"/>
          <w:szCs w:val="22"/>
        </w:rPr>
        <w:t>icas</w:t>
      </w:r>
      <w:r w:rsidRPr="00B44C92">
        <w:rPr>
          <w:sz w:val="22"/>
          <w:szCs w:val="22"/>
        </w:rPr>
        <w:t xml:space="preserve">, con el fin de optimizar la oportunidad en el trámite correspondiente. </w:t>
      </w:r>
      <w:r w:rsidR="009167DA" w:rsidRPr="00B44C92">
        <w:rPr>
          <w:sz w:val="22"/>
          <w:szCs w:val="22"/>
        </w:rPr>
        <w:t xml:space="preserve"> </w:t>
      </w:r>
    </w:p>
    <w:p w14:paraId="4B688717" w14:textId="0413551A" w:rsidR="00F43D3F" w:rsidRPr="00B44C92" w:rsidRDefault="00F43D3F" w:rsidP="00F3105E">
      <w:pPr>
        <w:pStyle w:val="Default"/>
        <w:jc w:val="both"/>
        <w:rPr>
          <w:rFonts w:eastAsia="Times New Roman"/>
          <w:color w:val="000000" w:themeColor="text1"/>
          <w:sz w:val="22"/>
          <w:szCs w:val="22"/>
          <w:lang w:eastAsia="es-ES"/>
        </w:rPr>
      </w:pPr>
    </w:p>
    <w:p w14:paraId="74B46E74" w14:textId="77777777" w:rsidR="00F43D3F" w:rsidRPr="00B44C92" w:rsidRDefault="00F43D3F" w:rsidP="00F3105E">
      <w:pPr>
        <w:pStyle w:val="Default"/>
        <w:jc w:val="both"/>
        <w:rPr>
          <w:rFonts w:eastAsia="Times New Roman"/>
          <w:color w:val="000000" w:themeColor="text1"/>
          <w:sz w:val="22"/>
          <w:szCs w:val="22"/>
        </w:rPr>
      </w:pPr>
    </w:p>
    <w:p w14:paraId="2066280C" w14:textId="07C8F1AA" w:rsidR="009F6950" w:rsidRPr="00B44C92" w:rsidRDefault="000D6F37" w:rsidP="009F6950">
      <w:pPr>
        <w:pStyle w:val="Textoindependiente"/>
        <w:widowControl/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Á</w:t>
      </w:r>
      <w:r w:rsidR="009F6950" w:rsidRPr="00B44C92">
        <w:rPr>
          <w:b/>
          <w:sz w:val="22"/>
          <w:szCs w:val="22"/>
        </w:rPr>
        <w:t>MBITO DE APLICACIÓN</w:t>
      </w:r>
    </w:p>
    <w:p w14:paraId="0A85B664" w14:textId="46B2BE12" w:rsidR="002C7E12" w:rsidRPr="00B44C92" w:rsidRDefault="002C7E12" w:rsidP="002C7E12">
      <w:pPr>
        <w:pStyle w:val="Textoindependiente"/>
        <w:widowControl/>
        <w:rPr>
          <w:b/>
          <w:sz w:val="22"/>
          <w:szCs w:val="22"/>
        </w:rPr>
      </w:pPr>
    </w:p>
    <w:p w14:paraId="27B819CE" w14:textId="3F7DF297" w:rsidR="00F42229" w:rsidRPr="00AF47D4" w:rsidRDefault="002C7E12" w:rsidP="00B44C92">
      <w:pPr>
        <w:jc w:val="both"/>
        <w:rPr>
          <w:rFonts w:ascii="Arial" w:hAnsi="Arial" w:cs="Arial"/>
          <w:color w:val="000000" w:themeColor="text1"/>
        </w:rPr>
      </w:pPr>
      <w:r w:rsidRPr="00B44C92">
        <w:rPr>
          <w:rFonts w:ascii="Arial" w:hAnsi="Arial" w:cs="Arial"/>
          <w:lang w:val="es-CO"/>
        </w:rPr>
        <w:t xml:space="preserve">Esta Resolución </w:t>
      </w:r>
      <w:r w:rsidR="00176F36">
        <w:rPr>
          <w:rFonts w:ascii="Arial" w:hAnsi="Arial" w:cs="Arial"/>
          <w:lang w:val="es-CO"/>
        </w:rPr>
        <w:t>está dirigida a</w:t>
      </w:r>
      <w:r w:rsidRPr="00B44C92">
        <w:rPr>
          <w:rFonts w:ascii="Arial" w:hAnsi="Arial" w:cs="Arial"/>
          <w:lang w:val="es-CO"/>
        </w:rPr>
        <w:t xml:space="preserve"> las administradoras del Sistema de la Protección Social, </w:t>
      </w:r>
      <w:r w:rsidR="00F42229" w:rsidRPr="00B44C92">
        <w:rPr>
          <w:rFonts w:ascii="Arial" w:hAnsi="Arial" w:cs="Arial"/>
          <w:lang w:val="es-CO"/>
        </w:rPr>
        <w:t xml:space="preserve">en consideración a lo dispuesto en el </w:t>
      </w:r>
      <w:r w:rsidR="00F42229" w:rsidRPr="00B44C92">
        <w:rPr>
          <w:rFonts w:ascii="Arial" w:hAnsi="Arial" w:cs="Arial"/>
          <w:color w:val="000000"/>
        </w:rPr>
        <w:t xml:space="preserve">inciso quinto del artículo 99 de la Ley 633 de 2000, </w:t>
      </w:r>
      <w:r w:rsidR="00A96BDF" w:rsidRPr="00B44C92">
        <w:rPr>
          <w:rFonts w:ascii="Arial" w:hAnsi="Arial" w:cs="Arial"/>
          <w:color w:val="000000"/>
        </w:rPr>
        <w:t>según</w:t>
      </w:r>
      <w:r w:rsidR="00F42229" w:rsidRPr="00B44C92">
        <w:rPr>
          <w:rFonts w:ascii="Arial" w:hAnsi="Arial" w:cs="Arial"/>
          <w:color w:val="000000"/>
        </w:rPr>
        <w:t xml:space="preserve"> el cual</w:t>
      </w:r>
      <w:r w:rsidR="00A96BDF" w:rsidRPr="00B44C92">
        <w:rPr>
          <w:rFonts w:ascii="Arial" w:hAnsi="Arial" w:cs="Arial"/>
          <w:color w:val="000000"/>
        </w:rPr>
        <w:t>,</w:t>
      </w:r>
      <w:r w:rsidR="00F42229" w:rsidRPr="00B44C92">
        <w:rPr>
          <w:rFonts w:ascii="Arial" w:hAnsi="Arial" w:cs="Arial"/>
          <w:color w:val="000000"/>
        </w:rPr>
        <w:t xml:space="preserve"> deben</w:t>
      </w:r>
      <w:r w:rsidR="00A96BDF" w:rsidRPr="00B44C92">
        <w:rPr>
          <w:rFonts w:ascii="Arial" w:hAnsi="Arial" w:cs="Arial"/>
          <w:color w:val="000000"/>
        </w:rPr>
        <w:t xml:space="preserve"> r</w:t>
      </w:r>
      <w:r w:rsidR="00F42229" w:rsidRPr="00B44C92">
        <w:rPr>
          <w:rFonts w:ascii="Arial" w:hAnsi="Arial" w:cs="Arial"/>
          <w:color w:val="000000"/>
        </w:rPr>
        <w:t xml:space="preserve">eportar </w:t>
      </w:r>
      <w:r w:rsidR="00A96BDF" w:rsidRPr="00B44C92">
        <w:rPr>
          <w:rFonts w:ascii="Arial" w:hAnsi="Arial" w:cs="Arial"/>
          <w:color w:val="000000"/>
        </w:rPr>
        <w:t xml:space="preserve">información </w:t>
      </w:r>
      <w:r w:rsidR="00F42229" w:rsidRPr="00B44C92">
        <w:rPr>
          <w:rFonts w:ascii="Arial" w:hAnsi="Arial" w:cs="Arial"/>
          <w:color w:val="000000"/>
        </w:rPr>
        <w:t>a la entidad encargada de la administración del Registro Único de Aportantes (RUA), actualmente a cargo de la UGPP por disposición del Decreto 2128 de 2011</w:t>
      </w:r>
      <w:r w:rsidR="00A96BDF" w:rsidRPr="00B44C92">
        <w:rPr>
          <w:rFonts w:ascii="Arial" w:hAnsi="Arial" w:cs="Arial"/>
          <w:color w:val="000000"/>
        </w:rPr>
        <w:t xml:space="preserve">, incorporado en el Decreto Único Reglamentario del Sector Hacienda 1068 de 2015, </w:t>
      </w:r>
      <w:r w:rsidR="00A96BDF" w:rsidRPr="00AF47D4">
        <w:rPr>
          <w:rFonts w:ascii="Arial" w:hAnsi="Arial" w:cs="Arial"/>
          <w:color w:val="000000" w:themeColor="text1"/>
        </w:rPr>
        <w:t>artículo</w:t>
      </w:r>
      <w:r w:rsidR="00A96BDF" w:rsidRPr="00AF47D4">
        <w:rPr>
          <w:rFonts w:ascii="Arial" w:hAnsi="Arial" w:cs="Arial"/>
          <w:color w:val="000000" w:themeColor="text1"/>
          <w:shd w:val="clear" w:color="auto" w:fill="FFFFFF"/>
        </w:rPr>
        <w:t> </w:t>
      </w:r>
      <w:bookmarkStart w:id="2" w:name="2.12.6.1"/>
      <w:bookmarkEnd w:id="2"/>
      <w:r w:rsidR="00A96BDF" w:rsidRPr="00AF47D4">
        <w:rPr>
          <w:rFonts w:ascii="Arial" w:hAnsi="Arial" w:cs="Arial"/>
          <w:color w:val="000000" w:themeColor="text1"/>
          <w:shd w:val="clear" w:color="auto" w:fill="FFFFFF"/>
        </w:rPr>
        <w:t>2.12.6.1 y ss.</w:t>
      </w:r>
    </w:p>
    <w:p w14:paraId="52F3E0CB" w14:textId="5DD05B1A" w:rsidR="009F6950" w:rsidRPr="00B44C92" w:rsidRDefault="009F6950" w:rsidP="009F6950">
      <w:pPr>
        <w:pStyle w:val="Textoindependiente"/>
        <w:widowControl/>
        <w:numPr>
          <w:ilvl w:val="0"/>
          <w:numId w:val="11"/>
        </w:numPr>
        <w:rPr>
          <w:b/>
          <w:sz w:val="22"/>
          <w:szCs w:val="22"/>
        </w:rPr>
      </w:pPr>
      <w:r w:rsidRPr="00B44C92">
        <w:rPr>
          <w:b/>
          <w:sz w:val="22"/>
          <w:szCs w:val="22"/>
        </w:rPr>
        <w:t>VIABILIDAD JUR</w:t>
      </w:r>
      <w:r w:rsidR="00176F36">
        <w:rPr>
          <w:b/>
          <w:sz w:val="22"/>
          <w:szCs w:val="22"/>
        </w:rPr>
        <w:t>Í</w:t>
      </w:r>
      <w:r w:rsidRPr="00B44C92">
        <w:rPr>
          <w:b/>
          <w:sz w:val="22"/>
          <w:szCs w:val="22"/>
        </w:rPr>
        <w:t>DICA</w:t>
      </w:r>
    </w:p>
    <w:p w14:paraId="3EF2F9FC" w14:textId="0A6D17C9" w:rsidR="002C7E12" w:rsidRPr="00B44C92" w:rsidRDefault="002C7E12" w:rsidP="002C7E12">
      <w:pPr>
        <w:pStyle w:val="Textoindependiente"/>
        <w:widowControl/>
        <w:rPr>
          <w:b/>
          <w:sz w:val="22"/>
          <w:szCs w:val="22"/>
        </w:rPr>
      </w:pPr>
    </w:p>
    <w:p w14:paraId="26288B16" w14:textId="14B50D10" w:rsidR="006F7EA4" w:rsidRDefault="002D6F3D" w:rsidP="00972FFE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</w:rPr>
        <w:t xml:space="preserve">De conformidad con </w:t>
      </w:r>
      <w:r w:rsidRPr="00B44C92">
        <w:rPr>
          <w:rFonts w:ascii="Arial" w:hAnsi="Arial" w:cs="Arial"/>
        </w:rPr>
        <w:t>num</w:t>
      </w:r>
      <w:r>
        <w:rPr>
          <w:rFonts w:ascii="Arial" w:hAnsi="Arial" w:cs="Arial"/>
        </w:rPr>
        <w:t>eral</w:t>
      </w:r>
      <w:r w:rsidRPr="00B44C92">
        <w:rPr>
          <w:rFonts w:ascii="Arial" w:hAnsi="Arial" w:cs="Arial"/>
        </w:rPr>
        <w:t xml:space="preserve"> 12 </w:t>
      </w:r>
      <w:r>
        <w:rPr>
          <w:rFonts w:ascii="Arial" w:hAnsi="Arial" w:cs="Arial"/>
        </w:rPr>
        <w:t xml:space="preserve">del </w:t>
      </w:r>
      <w:r w:rsidRPr="00B44C92">
        <w:rPr>
          <w:rFonts w:ascii="Arial" w:hAnsi="Arial" w:cs="Arial"/>
        </w:rPr>
        <w:t>artículo 3º del Código de Procedimiento Administrativo y de lo Contencioso Administrativo-</w:t>
      </w:r>
      <w:r w:rsidR="00AD0933">
        <w:rPr>
          <w:rFonts w:ascii="Arial" w:hAnsi="Arial" w:cs="Arial"/>
        </w:rPr>
        <w:t xml:space="preserve"> </w:t>
      </w:r>
      <w:r w:rsidRPr="00B44C92">
        <w:rPr>
          <w:rFonts w:ascii="Arial" w:hAnsi="Arial" w:cs="Arial"/>
        </w:rPr>
        <w:t>CPACA</w:t>
      </w:r>
      <w:r>
        <w:rPr>
          <w:rFonts w:ascii="Arial" w:eastAsia="Times New Roman" w:hAnsi="Arial" w:cs="Arial"/>
          <w:color w:val="000000" w:themeColor="text1"/>
        </w:rPr>
        <w:t xml:space="preserve"> y c</w:t>
      </w:r>
      <w:r w:rsidR="00FF683C">
        <w:rPr>
          <w:rFonts w:ascii="Arial" w:eastAsia="Times New Roman" w:hAnsi="Arial" w:cs="Arial"/>
          <w:color w:val="000000" w:themeColor="text1"/>
        </w:rPr>
        <w:t xml:space="preserve">on el fin de </w:t>
      </w:r>
      <w:r w:rsidR="00FF683C" w:rsidRPr="00B44C92">
        <w:rPr>
          <w:rFonts w:ascii="Arial" w:eastAsia="Times New Roman" w:hAnsi="Arial" w:cs="Arial"/>
          <w:color w:val="000000" w:themeColor="text1"/>
        </w:rPr>
        <w:t>garantiza</w:t>
      </w:r>
      <w:r w:rsidR="00FF683C">
        <w:rPr>
          <w:rFonts w:ascii="Arial" w:hAnsi="Arial" w:cs="Arial"/>
          <w:color w:val="000000" w:themeColor="text1"/>
        </w:rPr>
        <w:t>r</w:t>
      </w:r>
      <w:r w:rsidR="00FF683C" w:rsidRPr="00B44C92">
        <w:rPr>
          <w:rFonts w:ascii="Arial" w:eastAsia="Times New Roman" w:hAnsi="Arial" w:cs="Arial"/>
          <w:color w:val="000000" w:themeColor="text1"/>
        </w:rPr>
        <w:t xml:space="preserve"> los principios de eficiencia administrativa y economía</w:t>
      </w:r>
      <w:r w:rsidR="00A12E2D">
        <w:rPr>
          <w:rFonts w:ascii="Arial" w:eastAsia="Times New Roman" w:hAnsi="Arial" w:cs="Arial"/>
          <w:color w:val="000000" w:themeColor="text1"/>
        </w:rPr>
        <w:t>,</w:t>
      </w:r>
      <w:r w:rsidR="00FF683C" w:rsidRPr="00B44C92">
        <w:rPr>
          <w:rFonts w:ascii="Arial" w:hAnsi="Arial" w:cs="Arial"/>
          <w:bCs/>
          <w:lang w:val="es-CO"/>
        </w:rPr>
        <w:t xml:space="preserve"> </w:t>
      </w:r>
      <w:r w:rsidR="00A12E2D">
        <w:rPr>
          <w:rFonts w:ascii="Arial" w:hAnsi="Arial" w:cs="Arial"/>
          <w:bCs/>
          <w:lang w:val="es-CO"/>
        </w:rPr>
        <w:t>r</w:t>
      </w:r>
      <w:r w:rsidR="000D585E" w:rsidRPr="00B44C92">
        <w:rPr>
          <w:rFonts w:ascii="Arial" w:hAnsi="Arial" w:cs="Arial"/>
          <w:bCs/>
          <w:lang w:val="es-CO"/>
        </w:rPr>
        <w:t xml:space="preserve">esulta necesario </w:t>
      </w:r>
      <w:r w:rsidR="000D585E" w:rsidRPr="00B44C92">
        <w:rPr>
          <w:rFonts w:ascii="Arial" w:hAnsi="Arial" w:cs="Arial"/>
          <w:lang w:val="es-CO"/>
        </w:rPr>
        <w:t>a</w:t>
      </w:r>
      <w:r w:rsidR="00976FEF" w:rsidRPr="00B44C92">
        <w:rPr>
          <w:rFonts w:ascii="Arial" w:hAnsi="Arial" w:cs="Arial"/>
          <w:lang w:val="es-CO"/>
        </w:rPr>
        <w:t xml:space="preserve">justar la resolución </w:t>
      </w:r>
      <w:r w:rsidR="00AC38AA" w:rsidRPr="00B44C92">
        <w:rPr>
          <w:rFonts w:ascii="Arial" w:hAnsi="Arial" w:cs="Arial"/>
          <w:lang w:val="es-CO"/>
        </w:rPr>
        <w:t xml:space="preserve">para sustraer de la obligación de reportar una información que ya reposa en otra base de datos, como es el </w:t>
      </w:r>
      <w:r w:rsidR="00AC38AA" w:rsidRPr="00B44C92">
        <w:rPr>
          <w:rFonts w:ascii="Arial" w:hAnsi="Arial" w:cs="Arial"/>
        </w:rPr>
        <w:t>Registro Único de Afiliados RUAF, respecto de los regímenes especiales y de excepción.</w:t>
      </w:r>
      <w:r w:rsidR="00972FFE" w:rsidRPr="00B44C92">
        <w:rPr>
          <w:rFonts w:ascii="Arial" w:hAnsi="Arial" w:cs="Arial"/>
          <w:lang w:val="es-CO"/>
        </w:rPr>
        <w:t xml:space="preserve"> </w:t>
      </w:r>
    </w:p>
    <w:p w14:paraId="362472D8" w14:textId="77777777" w:rsidR="006F7EA4" w:rsidRPr="00790283" w:rsidRDefault="006F7EA4" w:rsidP="00972FFE">
      <w:pPr>
        <w:jc w:val="both"/>
        <w:rPr>
          <w:rFonts w:ascii="Arial" w:hAnsi="Arial" w:cs="Arial"/>
          <w:b/>
        </w:rPr>
      </w:pPr>
    </w:p>
    <w:p w14:paraId="0F4895E3" w14:textId="7A852C5E" w:rsidR="009F6950" w:rsidRPr="00521AB2" w:rsidRDefault="009F6950" w:rsidP="00790283">
      <w:pPr>
        <w:pStyle w:val="Prrafodelista"/>
        <w:numPr>
          <w:ilvl w:val="0"/>
          <w:numId w:val="11"/>
        </w:numPr>
        <w:rPr>
          <w:b/>
        </w:rPr>
      </w:pPr>
      <w:r w:rsidRPr="00790283">
        <w:rPr>
          <w:rFonts w:ascii="Arial" w:hAnsi="Arial" w:cs="Arial"/>
          <w:b/>
        </w:rPr>
        <w:t>IMPACTO ECONÓMICO</w:t>
      </w:r>
    </w:p>
    <w:p w14:paraId="3691F078" w14:textId="77777777" w:rsidR="009F6950" w:rsidRPr="00B44C92" w:rsidRDefault="009F6950" w:rsidP="00765576">
      <w:pPr>
        <w:pStyle w:val="Textoindependiente"/>
        <w:widowControl/>
        <w:jc w:val="center"/>
        <w:rPr>
          <w:b/>
          <w:sz w:val="22"/>
          <w:szCs w:val="22"/>
        </w:rPr>
      </w:pPr>
    </w:p>
    <w:p w14:paraId="709A6352" w14:textId="51EF7194" w:rsidR="00971B8A" w:rsidRPr="00B44C92" w:rsidRDefault="00880EB6" w:rsidP="00880EB6">
      <w:pPr>
        <w:spacing w:after="0" w:line="240" w:lineRule="auto"/>
        <w:ind w:right="140"/>
        <w:jc w:val="both"/>
        <w:rPr>
          <w:rFonts w:ascii="Arial" w:hAnsi="Arial" w:cs="Arial"/>
          <w:shd w:val="clear" w:color="auto" w:fill="FFFFFF"/>
        </w:rPr>
      </w:pPr>
      <w:r w:rsidRPr="00B44C92">
        <w:rPr>
          <w:rFonts w:ascii="Arial" w:hAnsi="Arial" w:cs="Arial"/>
          <w:lang w:val="es-CO"/>
        </w:rPr>
        <w:t>L</w:t>
      </w:r>
      <w:r w:rsidR="0003067E" w:rsidRPr="00B44C92">
        <w:rPr>
          <w:rFonts w:ascii="Arial" w:hAnsi="Arial" w:cs="Arial"/>
          <w:lang w:val="es-CO"/>
        </w:rPr>
        <w:t>a</w:t>
      </w:r>
      <w:r w:rsidRPr="00B44C92">
        <w:rPr>
          <w:rFonts w:ascii="Arial" w:hAnsi="Arial" w:cs="Arial"/>
          <w:lang w:val="es-CO"/>
        </w:rPr>
        <w:t xml:space="preserve"> presente propuesta normativa no genera</w:t>
      </w:r>
      <w:r w:rsidRPr="00B44C92">
        <w:rPr>
          <w:rFonts w:ascii="Arial" w:hAnsi="Arial" w:cs="Arial"/>
          <w:shd w:val="clear" w:color="auto" w:fill="FFFFFF"/>
        </w:rPr>
        <w:t xml:space="preserve"> costo</w:t>
      </w:r>
      <w:r w:rsidR="00971B8A" w:rsidRPr="00B44C92">
        <w:rPr>
          <w:rFonts w:ascii="Arial" w:hAnsi="Arial" w:cs="Arial"/>
          <w:shd w:val="clear" w:color="auto" w:fill="FFFFFF"/>
        </w:rPr>
        <w:t>s para la Unidad, por lo que no requiere de disponibilidad presupuestal previa para su expedición.</w:t>
      </w:r>
    </w:p>
    <w:p w14:paraId="69E50E15" w14:textId="77777777" w:rsidR="00EB76A8" w:rsidRPr="00B44C92" w:rsidRDefault="00EB76A8" w:rsidP="00880EB6">
      <w:pPr>
        <w:spacing w:after="0" w:line="240" w:lineRule="auto"/>
        <w:ind w:right="140"/>
        <w:jc w:val="both"/>
        <w:rPr>
          <w:rFonts w:ascii="Arial" w:hAnsi="Arial" w:cs="Arial"/>
          <w:shd w:val="clear" w:color="auto" w:fill="FFFFFF"/>
        </w:rPr>
      </w:pPr>
    </w:p>
    <w:p w14:paraId="291FED47" w14:textId="77777777" w:rsidR="00EB76A8" w:rsidRPr="00B44C92" w:rsidRDefault="00EB76A8" w:rsidP="00880EB6">
      <w:pPr>
        <w:spacing w:after="0" w:line="240" w:lineRule="auto"/>
        <w:ind w:right="140"/>
        <w:jc w:val="both"/>
        <w:rPr>
          <w:rFonts w:ascii="Arial" w:hAnsi="Arial" w:cs="Arial"/>
          <w:shd w:val="clear" w:color="auto" w:fill="FFFFFF"/>
        </w:rPr>
      </w:pPr>
    </w:p>
    <w:p w14:paraId="2DD89428" w14:textId="1E65351A" w:rsidR="00EB76A8" w:rsidRPr="00B44C92" w:rsidRDefault="00EB76A8" w:rsidP="00EB76A8">
      <w:pPr>
        <w:ind w:left="426"/>
        <w:jc w:val="both"/>
        <w:rPr>
          <w:rFonts w:ascii="Arial" w:hAnsi="Arial" w:cs="Arial"/>
          <w:b/>
        </w:rPr>
      </w:pPr>
      <w:r w:rsidRPr="00B44C92">
        <w:rPr>
          <w:rFonts w:ascii="Arial" w:hAnsi="Arial" w:cs="Arial"/>
          <w:b/>
        </w:rPr>
        <w:t xml:space="preserve">5. DISPONIBILIDAD PRESUPUESTAL </w:t>
      </w:r>
    </w:p>
    <w:p w14:paraId="0BFAC9B5" w14:textId="63F6BD76" w:rsidR="00EB76A8" w:rsidRPr="00B44C92" w:rsidRDefault="00EB76A8" w:rsidP="00EB76A8">
      <w:pPr>
        <w:jc w:val="both"/>
        <w:rPr>
          <w:rFonts w:ascii="Arial" w:hAnsi="Arial" w:cs="Arial"/>
        </w:rPr>
      </w:pPr>
      <w:r w:rsidRPr="00B44C92">
        <w:rPr>
          <w:rFonts w:ascii="Arial" w:hAnsi="Arial" w:cs="Arial"/>
        </w:rPr>
        <w:t>El proyecto de resolución no requiere de disponibilidad presupuestal, porque no implica un desembolso de recursos económicos a cargo del Estado Colombiano.</w:t>
      </w:r>
    </w:p>
    <w:p w14:paraId="2F18D396" w14:textId="77777777" w:rsidR="00EB76A8" w:rsidRPr="00B44C92" w:rsidRDefault="00EB76A8" w:rsidP="00EB76A8">
      <w:pPr>
        <w:spacing w:after="0" w:line="360" w:lineRule="auto"/>
        <w:ind w:left="426"/>
        <w:rPr>
          <w:rFonts w:ascii="Arial" w:eastAsia="Times New Roman" w:hAnsi="Arial" w:cs="Arial"/>
          <w:b/>
          <w:color w:val="000000"/>
          <w:lang w:eastAsia="es-CO"/>
        </w:rPr>
      </w:pPr>
      <w:r w:rsidRPr="00B44C92">
        <w:rPr>
          <w:rFonts w:ascii="Arial" w:eastAsia="Times New Roman" w:hAnsi="Arial" w:cs="Arial"/>
          <w:b/>
          <w:color w:val="000000"/>
          <w:lang w:eastAsia="es-CO"/>
        </w:rPr>
        <w:t>6.  IMPACTO AMBIENTAL O SOBRE EL PATRIMONIO CULTURAL DE LA NACIÓN</w:t>
      </w:r>
    </w:p>
    <w:p w14:paraId="6679E91F" w14:textId="77777777" w:rsidR="00EB76A8" w:rsidRPr="00B44C92" w:rsidRDefault="00EB76A8" w:rsidP="00EB76A8">
      <w:pPr>
        <w:spacing w:after="0" w:line="360" w:lineRule="auto"/>
        <w:rPr>
          <w:rFonts w:ascii="Arial" w:eastAsia="Times New Roman" w:hAnsi="Arial" w:cs="Arial"/>
          <w:color w:val="000000"/>
          <w:lang w:eastAsia="es-CO"/>
        </w:rPr>
      </w:pPr>
      <w:r w:rsidRPr="00B44C92">
        <w:rPr>
          <w:rFonts w:ascii="Arial" w:eastAsia="Times New Roman" w:hAnsi="Arial" w:cs="Arial"/>
          <w:color w:val="000000"/>
          <w:lang w:eastAsia="es-CO"/>
        </w:rPr>
        <w:t>No aplica.</w:t>
      </w:r>
    </w:p>
    <w:p w14:paraId="6DF13CF9" w14:textId="77777777" w:rsidR="00EB76A8" w:rsidRPr="00B44C92" w:rsidRDefault="00EB76A8" w:rsidP="00EB76A8">
      <w:pPr>
        <w:spacing w:after="0" w:line="360" w:lineRule="auto"/>
        <w:rPr>
          <w:rFonts w:ascii="Arial" w:eastAsia="Times New Roman" w:hAnsi="Arial" w:cs="Arial"/>
          <w:color w:val="000000"/>
          <w:lang w:eastAsia="es-CO"/>
        </w:rPr>
      </w:pPr>
    </w:p>
    <w:p w14:paraId="5ABD202E" w14:textId="77777777" w:rsidR="00EB76A8" w:rsidRPr="00B44C92" w:rsidRDefault="00EB76A8" w:rsidP="00EB76A8">
      <w:pPr>
        <w:spacing w:after="0" w:line="360" w:lineRule="auto"/>
        <w:ind w:left="426"/>
        <w:rPr>
          <w:rFonts w:ascii="Arial" w:eastAsia="Times New Roman" w:hAnsi="Arial" w:cs="Arial"/>
          <w:b/>
          <w:color w:val="000000"/>
          <w:lang w:eastAsia="es-CO"/>
        </w:rPr>
      </w:pPr>
      <w:r w:rsidRPr="00B44C92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B44C92">
        <w:rPr>
          <w:rFonts w:ascii="Arial" w:eastAsia="Times New Roman" w:hAnsi="Arial" w:cs="Arial"/>
          <w:b/>
          <w:color w:val="000000"/>
          <w:lang w:eastAsia="es-CO"/>
        </w:rPr>
        <w:t>7</w:t>
      </w:r>
      <w:r w:rsidRPr="00B44C92">
        <w:rPr>
          <w:rFonts w:ascii="Arial" w:eastAsia="Times New Roman" w:hAnsi="Arial" w:cs="Arial"/>
          <w:color w:val="000000"/>
          <w:lang w:eastAsia="es-CO"/>
        </w:rPr>
        <w:t xml:space="preserve">. </w:t>
      </w:r>
      <w:r w:rsidRPr="00B44C92">
        <w:rPr>
          <w:rFonts w:ascii="Arial" w:eastAsia="Times New Roman" w:hAnsi="Arial" w:cs="Arial"/>
          <w:b/>
          <w:color w:val="000000"/>
          <w:lang w:eastAsia="es-CO"/>
        </w:rPr>
        <w:t>CUMPLIMIENTO DE LOS REQUISITOS DE CONSULTA Y PUBLICIDAD</w:t>
      </w:r>
    </w:p>
    <w:p w14:paraId="2083032C" w14:textId="4655A9F6" w:rsidR="00EB76A8" w:rsidRPr="00B44C92" w:rsidRDefault="00EB76A8" w:rsidP="00EB76A8">
      <w:pPr>
        <w:jc w:val="both"/>
        <w:rPr>
          <w:rFonts w:ascii="Arial" w:eastAsia="Calibri" w:hAnsi="Arial" w:cs="Arial"/>
        </w:rPr>
      </w:pPr>
      <w:r w:rsidRPr="00B44C92">
        <w:rPr>
          <w:rFonts w:ascii="Arial" w:eastAsia="Times New Roman" w:hAnsi="Arial" w:cs="Arial"/>
        </w:rPr>
        <w:t>El proyecto de resolución se publicó en la página</w:t>
      </w:r>
      <w:r w:rsidR="00052D8F">
        <w:rPr>
          <w:rFonts w:ascii="Arial" w:eastAsia="Times New Roman" w:hAnsi="Arial" w:cs="Arial"/>
        </w:rPr>
        <w:t xml:space="preserve"> </w:t>
      </w:r>
      <w:r w:rsidR="002440FD" w:rsidRPr="00790283">
        <w:rPr>
          <w:rFonts w:ascii="Arial" w:hAnsi="Arial" w:cs="Arial"/>
          <w:color w:val="202124"/>
          <w:shd w:val="clear" w:color="auto" w:fill="FFFFFF"/>
        </w:rPr>
        <w:t>principal del sitio web oficial</w:t>
      </w:r>
      <w:r w:rsidRPr="00790283">
        <w:rPr>
          <w:rFonts w:ascii="Arial" w:hAnsi="Arial" w:cs="Arial"/>
          <w:color w:val="202124"/>
          <w:shd w:val="clear" w:color="auto" w:fill="FFFFFF"/>
        </w:rPr>
        <w:t xml:space="preserve"> de la Unidad</w:t>
      </w:r>
      <w:r w:rsidRPr="00B44C92">
        <w:rPr>
          <w:rFonts w:ascii="Arial" w:eastAsia="Times New Roman" w:hAnsi="Arial" w:cs="Arial"/>
        </w:rPr>
        <w:t xml:space="preserve"> Administrativa Especial de Gestión Pensional y Contribuciones Parafiscales-de la Protección Social- UGPP, en el </w:t>
      </w:r>
      <w:r w:rsidR="00DD6BA2">
        <w:rPr>
          <w:rFonts w:ascii="Arial" w:eastAsia="Times New Roman" w:hAnsi="Arial" w:cs="Arial"/>
        </w:rPr>
        <w:t>enlace</w:t>
      </w:r>
      <w:r w:rsidR="00DD6BA2" w:rsidRPr="00B44C92">
        <w:rPr>
          <w:rFonts w:ascii="Arial" w:eastAsia="Times New Roman" w:hAnsi="Arial" w:cs="Arial"/>
        </w:rPr>
        <w:t xml:space="preserve"> </w:t>
      </w:r>
      <w:hyperlink r:id="rId5" w:history="1">
        <w:r w:rsidRPr="00B44C92">
          <w:rPr>
            <w:rFonts w:ascii="Arial" w:eastAsia="Calibri" w:hAnsi="Arial" w:cs="Arial"/>
            <w:color w:val="0000FF" w:themeColor="hyperlink"/>
            <w:u w:val="single"/>
          </w:rPr>
          <w:t>https://www.ugpp.gov.co/nuestra-entidad/proyectos-normativa</w:t>
        </w:r>
      </w:hyperlink>
      <w:r w:rsidRPr="00B44C92">
        <w:rPr>
          <w:rFonts w:ascii="Arial" w:eastAsia="Calibri" w:hAnsi="Arial" w:cs="Arial"/>
        </w:rPr>
        <w:t xml:space="preserve">, </w:t>
      </w:r>
      <w:r w:rsidRPr="00B44C92">
        <w:rPr>
          <w:rFonts w:ascii="Arial" w:eastAsia="Times New Roman" w:hAnsi="Arial" w:cs="Arial"/>
        </w:rPr>
        <w:t xml:space="preserve">del  </w:t>
      </w:r>
      <w:r w:rsidR="006E3129">
        <w:rPr>
          <w:rFonts w:ascii="Arial" w:eastAsia="Times New Roman" w:hAnsi="Arial" w:cs="Arial"/>
        </w:rPr>
        <w:t xml:space="preserve">5 </w:t>
      </w:r>
      <w:r w:rsidRPr="00B44C92">
        <w:rPr>
          <w:rFonts w:ascii="Arial" w:eastAsia="Times New Roman" w:hAnsi="Arial" w:cs="Arial"/>
        </w:rPr>
        <w:t xml:space="preserve">al </w:t>
      </w:r>
      <w:r w:rsidR="00B44C92" w:rsidRPr="00B44C92">
        <w:rPr>
          <w:rFonts w:ascii="Arial" w:eastAsia="Times New Roman" w:hAnsi="Arial" w:cs="Arial"/>
        </w:rPr>
        <w:t>20 de enero de 2022</w:t>
      </w:r>
      <w:r w:rsidRPr="00B44C92">
        <w:rPr>
          <w:rFonts w:ascii="Arial" w:eastAsia="Times New Roman" w:hAnsi="Arial" w:cs="Arial"/>
        </w:rPr>
        <w:t xml:space="preserve"> </w:t>
      </w:r>
      <w:r w:rsidR="009E78FF" w:rsidRPr="007B6F32">
        <w:rPr>
          <w:rFonts w:ascii="Arial" w:hAnsi="Arial" w:cs="Arial"/>
          <w:color w:val="202124"/>
          <w:shd w:val="clear" w:color="auto" w:fill="FFFFFF"/>
        </w:rPr>
        <w:t xml:space="preserve">en cumplimiento de lo establecido en el numeral 9 del artículo 3 y en el numeral 8 del artículo 8 de la Ley 1437 de 2011, </w:t>
      </w:r>
      <w:r w:rsidR="009E78FF">
        <w:rPr>
          <w:rFonts w:ascii="Arial" w:hAnsi="Arial" w:cs="Arial"/>
          <w:color w:val="202124"/>
          <w:shd w:val="clear" w:color="auto" w:fill="FFFFFF"/>
        </w:rPr>
        <w:t xml:space="preserve">así como del </w:t>
      </w:r>
      <w:r w:rsidR="009E78FF" w:rsidRPr="007B6F32">
        <w:rPr>
          <w:rFonts w:ascii="Arial" w:hAnsi="Arial" w:cs="Arial"/>
          <w:color w:val="202124"/>
          <w:shd w:val="clear" w:color="auto" w:fill="FFFFFF"/>
        </w:rPr>
        <w:t>artículo 2.1.2.1.14. del Decreto 1081 de</w:t>
      </w:r>
      <w:r w:rsidR="009E78FF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9E78FF" w:rsidRPr="007B6F32">
        <w:rPr>
          <w:rFonts w:ascii="Arial" w:hAnsi="Arial" w:cs="Arial"/>
          <w:color w:val="202124"/>
          <w:shd w:val="clear" w:color="auto" w:fill="FFFFFF"/>
        </w:rPr>
        <w:t xml:space="preserve">2015 modificado por el artículo 2 del Decreto 1273 de 2020 y </w:t>
      </w:r>
      <w:r w:rsidR="009E78FF" w:rsidRPr="007F1872">
        <w:rPr>
          <w:rFonts w:ascii="Arial" w:hAnsi="Arial" w:cs="Arial"/>
          <w:color w:val="202124"/>
          <w:shd w:val="clear" w:color="auto" w:fill="FFFFFF"/>
        </w:rPr>
        <w:t>la Resolución 609 de 2017</w:t>
      </w:r>
      <w:r w:rsidRPr="00B44C92">
        <w:rPr>
          <w:rFonts w:ascii="Arial" w:eastAsia="Calibri" w:hAnsi="Arial" w:cs="Arial"/>
        </w:rPr>
        <w:t>.</w:t>
      </w:r>
    </w:p>
    <w:p w14:paraId="5D1D6036" w14:textId="77777777" w:rsidR="00EB76A8" w:rsidRPr="00B44C92" w:rsidRDefault="00EB76A8" w:rsidP="00EB76A8">
      <w:pPr>
        <w:spacing w:after="0" w:line="360" w:lineRule="auto"/>
        <w:ind w:left="426"/>
        <w:rPr>
          <w:rFonts w:ascii="Arial" w:eastAsia="Calibri" w:hAnsi="Arial" w:cs="Arial"/>
          <w:b/>
        </w:rPr>
      </w:pPr>
      <w:r w:rsidRPr="00B44C92">
        <w:rPr>
          <w:rFonts w:ascii="Arial" w:eastAsia="Calibri" w:hAnsi="Arial" w:cs="Arial"/>
          <w:b/>
        </w:rPr>
        <w:t>8. ANEXOS</w:t>
      </w:r>
    </w:p>
    <w:p w14:paraId="4B00DE6B" w14:textId="77777777" w:rsidR="00EB76A8" w:rsidRPr="00B44C92" w:rsidRDefault="00EB76A8" w:rsidP="00EB76A8">
      <w:pPr>
        <w:spacing w:after="0" w:line="360" w:lineRule="auto"/>
        <w:rPr>
          <w:rFonts w:ascii="Arial" w:eastAsia="Calibri" w:hAnsi="Arial" w:cs="Arial"/>
        </w:rPr>
      </w:pPr>
      <w:r w:rsidRPr="00B44C92">
        <w:rPr>
          <w:rFonts w:ascii="Arial" w:eastAsia="Calibri" w:hAnsi="Arial" w:cs="Arial"/>
        </w:rPr>
        <w:t>Matriz de comentarios recibidos durante la publicación del proyecto.</w:t>
      </w:r>
    </w:p>
    <w:p w14:paraId="7B6190CD" w14:textId="77777777" w:rsidR="00EB76A8" w:rsidRPr="00B44C92" w:rsidRDefault="00EB76A8" w:rsidP="00EB76A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14:paraId="0C1CACCC" w14:textId="26EF79EF" w:rsidR="00EB76A8" w:rsidRDefault="00EB76A8" w:rsidP="00EB76A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14:paraId="4C259AB8" w14:textId="77777777" w:rsidR="00790283" w:rsidRPr="00B44C92" w:rsidRDefault="00790283" w:rsidP="00EB76A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14:paraId="152B22BA" w14:textId="77777777" w:rsidR="005C3C32" w:rsidRPr="00B44C92" w:rsidRDefault="005C3C32" w:rsidP="00EB76A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14:paraId="431DD4EB" w14:textId="693B671C" w:rsidR="00EB76A8" w:rsidRPr="00B44C92" w:rsidRDefault="00EB76A8" w:rsidP="00EB76A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bCs/>
        </w:rPr>
      </w:pPr>
      <w:r w:rsidRPr="00B44C92">
        <w:rPr>
          <w:rFonts w:ascii="Arial" w:hAnsi="Arial" w:cs="Arial"/>
          <w:b/>
          <w:bCs/>
        </w:rPr>
        <w:t>MARCELA G</w:t>
      </w:r>
      <w:r w:rsidR="001B7192">
        <w:rPr>
          <w:rFonts w:ascii="Arial" w:hAnsi="Arial" w:cs="Arial"/>
          <w:b/>
          <w:bCs/>
        </w:rPr>
        <w:t>Ó</w:t>
      </w:r>
      <w:r w:rsidRPr="00B44C92">
        <w:rPr>
          <w:rFonts w:ascii="Arial" w:hAnsi="Arial" w:cs="Arial"/>
          <w:b/>
          <w:bCs/>
        </w:rPr>
        <w:t>MEZ MART</w:t>
      </w:r>
      <w:r w:rsidR="001B7192">
        <w:rPr>
          <w:rFonts w:ascii="Arial" w:hAnsi="Arial" w:cs="Arial"/>
          <w:b/>
          <w:bCs/>
        </w:rPr>
        <w:t>Í</w:t>
      </w:r>
      <w:r w:rsidRPr="00B44C92">
        <w:rPr>
          <w:rFonts w:ascii="Arial" w:hAnsi="Arial" w:cs="Arial"/>
          <w:b/>
          <w:bCs/>
        </w:rPr>
        <w:t>NEZ</w:t>
      </w:r>
    </w:p>
    <w:p w14:paraId="6A7E07CC" w14:textId="77777777" w:rsidR="00EB76A8" w:rsidRPr="00B44C92" w:rsidRDefault="00EB76A8" w:rsidP="00EB76A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B44C92">
        <w:rPr>
          <w:rFonts w:ascii="Arial" w:hAnsi="Arial" w:cs="Arial"/>
        </w:rPr>
        <w:t>Directora Jurídica-UGPP</w:t>
      </w:r>
    </w:p>
    <w:p w14:paraId="4E8A07D8" w14:textId="77777777" w:rsidR="00EB76A8" w:rsidRPr="00EB76A8" w:rsidRDefault="00EB76A8" w:rsidP="00EB76A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05BC183" w14:textId="77777777" w:rsidR="00EB76A8" w:rsidRPr="005C3C32" w:rsidRDefault="00EB76A8" w:rsidP="00EB76A8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 w:cs="Arial"/>
          <w:sz w:val="16"/>
          <w:szCs w:val="16"/>
        </w:rPr>
      </w:pPr>
      <w:r w:rsidRPr="005C3C32">
        <w:rPr>
          <w:rFonts w:ascii="Arial Narrow" w:hAnsi="Arial Narrow" w:cs="Arial"/>
          <w:sz w:val="16"/>
          <w:szCs w:val="16"/>
        </w:rPr>
        <w:t>Proyectó: Cecilia Cifuentes</w:t>
      </w:r>
    </w:p>
    <w:p w14:paraId="3D7CB43B" w14:textId="6F916779" w:rsidR="002A034F" w:rsidRDefault="00EB76A8" w:rsidP="00623FA3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 w:cs="Arial"/>
          <w:sz w:val="16"/>
          <w:szCs w:val="16"/>
        </w:rPr>
      </w:pPr>
      <w:r w:rsidRPr="005C3C32">
        <w:rPr>
          <w:rFonts w:ascii="Arial Narrow" w:hAnsi="Arial Narrow" w:cs="Arial"/>
          <w:sz w:val="16"/>
          <w:szCs w:val="16"/>
        </w:rPr>
        <w:t>Revisó: Claudia A. Caicedo B.</w:t>
      </w:r>
    </w:p>
    <w:p w14:paraId="383B6DD7" w14:textId="46157A89" w:rsidR="00DB16FC" w:rsidRDefault="00DB16FC" w:rsidP="00623FA3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 w:cs="Arial"/>
          <w:sz w:val="16"/>
          <w:szCs w:val="16"/>
        </w:rPr>
      </w:pPr>
    </w:p>
    <w:p w14:paraId="410AB422" w14:textId="52AD5870" w:rsidR="00DB16FC" w:rsidRDefault="00DB16FC" w:rsidP="00623FA3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 w:cs="Arial"/>
          <w:sz w:val="16"/>
          <w:szCs w:val="16"/>
        </w:rPr>
      </w:pPr>
    </w:p>
    <w:p w14:paraId="5F26A397" w14:textId="685ECF10" w:rsidR="00DB16FC" w:rsidRDefault="00DB16FC" w:rsidP="00623FA3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 w:cs="Arial"/>
          <w:sz w:val="16"/>
          <w:szCs w:val="16"/>
        </w:rPr>
      </w:pPr>
    </w:p>
    <w:p w14:paraId="183A98A5" w14:textId="4ADD724B" w:rsidR="00DB16FC" w:rsidRPr="00623FA3" w:rsidRDefault="00DB16FC" w:rsidP="00623FA3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 w:cs="Arial"/>
          <w:sz w:val="16"/>
          <w:szCs w:val="16"/>
        </w:rPr>
      </w:pPr>
    </w:p>
    <w:sectPr w:rsidR="00DB16FC" w:rsidRPr="00623FA3" w:rsidSect="00751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2D4"/>
    <w:multiLevelType w:val="hybridMultilevel"/>
    <w:tmpl w:val="90208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0491"/>
    <w:multiLevelType w:val="hybridMultilevel"/>
    <w:tmpl w:val="43625D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628"/>
    <w:multiLevelType w:val="hybridMultilevel"/>
    <w:tmpl w:val="A3C2F98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55B7A"/>
    <w:multiLevelType w:val="hybridMultilevel"/>
    <w:tmpl w:val="5D284C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574A"/>
    <w:multiLevelType w:val="hybridMultilevel"/>
    <w:tmpl w:val="90208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F3268"/>
    <w:multiLevelType w:val="multilevel"/>
    <w:tmpl w:val="DE9C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06590"/>
    <w:multiLevelType w:val="hybridMultilevel"/>
    <w:tmpl w:val="90208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B3C89"/>
    <w:multiLevelType w:val="hybridMultilevel"/>
    <w:tmpl w:val="4918795A"/>
    <w:lvl w:ilvl="0" w:tplc="240A000F">
      <w:start w:val="1"/>
      <w:numFmt w:val="decimal"/>
      <w:lvlText w:val="%1."/>
      <w:lvlJc w:val="left"/>
      <w:pPr>
        <w:ind w:left="1837" w:hanging="360"/>
      </w:pPr>
    </w:lvl>
    <w:lvl w:ilvl="1" w:tplc="240A0019" w:tentative="1">
      <w:start w:val="1"/>
      <w:numFmt w:val="lowerLetter"/>
      <w:lvlText w:val="%2."/>
      <w:lvlJc w:val="left"/>
      <w:pPr>
        <w:ind w:left="2557" w:hanging="360"/>
      </w:pPr>
    </w:lvl>
    <w:lvl w:ilvl="2" w:tplc="240A001B" w:tentative="1">
      <w:start w:val="1"/>
      <w:numFmt w:val="lowerRoman"/>
      <w:lvlText w:val="%3."/>
      <w:lvlJc w:val="right"/>
      <w:pPr>
        <w:ind w:left="3277" w:hanging="180"/>
      </w:pPr>
    </w:lvl>
    <w:lvl w:ilvl="3" w:tplc="240A000F" w:tentative="1">
      <w:start w:val="1"/>
      <w:numFmt w:val="decimal"/>
      <w:lvlText w:val="%4."/>
      <w:lvlJc w:val="left"/>
      <w:pPr>
        <w:ind w:left="3997" w:hanging="360"/>
      </w:pPr>
    </w:lvl>
    <w:lvl w:ilvl="4" w:tplc="240A0019" w:tentative="1">
      <w:start w:val="1"/>
      <w:numFmt w:val="lowerLetter"/>
      <w:lvlText w:val="%5."/>
      <w:lvlJc w:val="left"/>
      <w:pPr>
        <w:ind w:left="4717" w:hanging="360"/>
      </w:pPr>
    </w:lvl>
    <w:lvl w:ilvl="5" w:tplc="240A001B" w:tentative="1">
      <w:start w:val="1"/>
      <w:numFmt w:val="lowerRoman"/>
      <w:lvlText w:val="%6."/>
      <w:lvlJc w:val="right"/>
      <w:pPr>
        <w:ind w:left="5437" w:hanging="180"/>
      </w:pPr>
    </w:lvl>
    <w:lvl w:ilvl="6" w:tplc="240A000F" w:tentative="1">
      <w:start w:val="1"/>
      <w:numFmt w:val="decimal"/>
      <w:lvlText w:val="%7."/>
      <w:lvlJc w:val="left"/>
      <w:pPr>
        <w:ind w:left="6157" w:hanging="360"/>
      </w:pPr>
    </w:lvl>
    <w:lvl w:ilvl="7" w:tplc="240A0019" w:tentative="1">
      <w:start w:val="1"/>
      <w:numFmt w:val="lowerLetter"/>
      <w:lvlText w:val="%8."/>
      <w:lvlJc w:val="left"/>
      <w:pPr>
        <w:ind w:left="6877" w:hanging="360"/>
      </w:pPr>
    </w:lvl>
    <w:lvl w:ilvl="8" w:tplc="240A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8" w15:restartNumberingAfterBreak="0">
    <w:nsid w:val="4B1C2818"/>
    <w:multiLevelType w:val="hybridMultilevel"/>
    <w:tmpl w:val="5D284C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05071"/>
    <w:multiLevelType w:val="hybridMultilevel"/>
    <w:tmpl w:val="EE2817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41A46"/>
    <w:multiLevelType w:val="hybridMultilevel"/>
    <w:tmpl w:val="04DCAD0C"/>
    <w:lvl w:ilvl="0" w:tplc="0160F956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425CB"/>
    <w:multiLevelType w:val="hybridMultilevel"/>
    <w:tmpl w:val="0F3019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A4C39"/>
    <w:multiLevelType w:val="hybridMultilevel"/>
    <w:tmpl w:val="B9708B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12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DD"/>
    <w:rsid w:val="00015148"/>
    <w:rsid w:val="000166D7"/>
    <w:rsid w:val="000216CE"/>
    <w:rsid w:val="0003067E"/>
    <w:rsid w:val="00036641"/>
    <w:rsid w:val="00043ACC"/>
    <w:rsid w:val="00052D8F"/>
    <w:rsid w:val="00076F0A"/>
    <w:rsid w:val="000945FA"/>
    <w:rsid w:val="000A3C88"/>
    <w:rsid w:val="000A42AD"/>
    <w:rsid w:val="000D43FB"/>
    <w:rsid w:val="000D4B74"/>
    <w:rsid w:val="000D585E"/>
    <w:rsid w:val="000D6F37"/>
    <w:rsid w:val="00113320"/>
    <w:rsid w:val="001374CE"/>
    <w:rsid w:val="001378BF"/>
    <w:rsid w:val="001533A4"/>
    <w:rsid w:val="00176F36"/>
    <w:rsid w:val="00182433"/>
    <w:rsid w:val="001A1061"/>
    <w:rsid w:val="001A59C8"/>
    <w:rsid w:val="001B7192"/>
    <w:rsid w:val="001C7BDD"/>
    <w:rsid w:val="002330B5"/>
    <w:rsid w:val="002440FD"/>
    <w:rsid w:val="00252C3A"/>
    <w:rsid w:val="0028220A"/>
    <w:rsid w:val="00283F9E"/>
    <w:rsid w:val="002941D9"/>
    <w:rsid w:val="002A034F"/>
    <w:rsid w:val="002C2DEE"/>
    <w:rsid w:val="002C7E12"/>
    <w:rsid w:val="002D6F3D"/>
    <w:rsid w:val="002E06A1"/>
    <w:rsid w:val="002E3FC0"/>
    <w:rsid w:val="002E6D1B"/>
    <w:rsid w:val="0031150E"/>
    <w:rsid w:val="00374648"/>
    <w:rsid w:val="003810E6"/>
    <w:rsid w:val="003861A2"/>
    <w:rsid w:val="003875A6"/>
    <w:rsid w:val="003A60B4"/>
    <w:rsid w:val="003C32CB"/>
    <w:rsid w:val="003E0CBF"/>
    <w:rsid w:val="00425188"/>
    <w:rsid w:val="00495043"/>
    <w:rsid w:val="004C5C97"/>
    <w:rsid w:val="004E3151"/>
    <w:rsid w:val="004F353F"/>
    <w:rsid w:val="004F669B"/>
    <w:rsid w:val="00521AB2"/>
    <w:rsid w:val="00525397"/>
    <w:rsid w:val="005305BB"/>
    <w:rsid w:val="00542091"/>
    <w:rsid w:val="00547719"/>
    <w:rsid w:val="0055683A"/>
    <w:rsid w:val="0056510F"/>
    <w:rsid w:val="0057039D"/>
    <w:rsid w:val="00596342"/>
    <w:rsid w:val="005C345D"/>
    <w:rsid w:val="005C3C32"/>
    <w:rsid w:val="005E2328"/>
    <w:rsid w:val="00601E92"/>
    <w:rsid w:val="00607487"/>
    <w:rsid w:val="00623FA3"/>
    <w:rsid w:val="006241D6"/>
    <w:rsid w:val="00626EB0"/>
    <w:rsid w:val="006329D2"/>
    <w:rsid w:val="00653762"/>
    <w:rsid w:val="006815C5"/>
    <w:rsid w:val="00684A70"/>
    <w:rsid w:val="006A4941"/>
    <w:rsid w:val="006C1223"/>
    <w:rsid w:val="006C1636"/>
    <w:rsid w:val="006E3129"/>
    <w:rsid w:val="006F2280"/>
    <w:rsid w:val="006F7EA4"/>
    <w:rsid w:val="0072515F"/>
    <w:rsid w:val="00740F79"/>
    <w:rsid w:val="00751719"/>
    <w:rsid w:val="00754435"/>
    <w:rsid w:val="00765576"/>
    <w:rsid w:val="00766230"/>
    <w:rsid w:val="00790283"/>
    <w:rsid w:val="007B3E00"/>
    <w:rsid w:val="007C0547"/>
    <w:rsid w:val="0082448E"/>
    <w:rsid w:val="00835C0A"/>
    <w:rsid w:val="00840E9F"/>
    <w:rsid w:val="00840FD0"/>
    <w:rsid w:val="0084721A"/>
    <w:rsid w:val="0085103A"/>
    <w:rsid w:val="008570E7"/>
    <w:rsid w:val="0087078E"/>
    <w:rsid w:val="00880EB6"/>
    <w:rsid w:val="00885861"/>
    <w:rsid w:val="008D27E6"/>
    <w:rsid w:val="008D4C24"/>
    <w:rsid w:val="008D652C"/>
    <w:rsid w:val="009167DA"/>
    <w:rsid w:val="00971B8A"/>
    <w:rsid w:val="00972FFE"/>
    <w:rsid w:val="00974D83"/>
    <w:rsid w:val="00976FEF"/>
    <w:rsid w:val="009801D4"/>
    <w:rsid w:val="009A7D0E"/>
    <w:rsid w:val="009C7A96"/>
    <w:rsid w:val="009D1F3E"/>
    <w:rsid w:val="009D2BDD"/>
    <w:rsid w:val="009E78FF"/>
    <w:rsid w:val="009F11C1"/>
    <w:rsid w:val="009F661D"/>
    <w:rsid w:val="009F6950"/>
    <w:rsid w:val="00A12857"/>
    <w:rsid w:val="00A12E2D"/>
    <w:rsid w:val="00A23D2E"/>
    <w:rsid w:val="00A61B7D"/>
    <w:rsid w:val="00A86300"/>
    <w:rsid w:val="00A9362C"/>
    <w:rsid w:val="00A96BCD"/>
    <w:rsid w:val="00A96BDF"/>
    <w:rsid w:val="00AC38AA"/>
    <w:rsid w:val="00AD0933"/>
    <w:rsid w:val="00AF47D4"/>
    <w:rsid w:val="00B21799"/>
    <w:rsid w:val="00B44C92"/>
    <w:rsid w:val="00B4732C"/>
    <w:rsid w:val="00B74AE0"/>
    <w:rsid w:val="00B74CDB"/>
    <w:rsid w:val="00B84B55"/>
    <w:rsid w:val="00B867E2"/>
    <w:rsid w:val="00B93A72"/>
    <w:rsid w:val="00B96C7A"/>
    <w:rsid w:val="00BA0170"/>
    <w:rsid w:val="00BA66F3"/>
    <w:rsid w:val="00BA6E7A"/>
    <w:rsid w:val="00BC3226"/>
    <w:rsid w:val="00BC4831"/>
    <w:rsid w:val="00BE5ADC"/>
    <w:rsid w:val="00BF0EE0"/>
    <w:rsid w:val="00BF152B"/>
    <w:rsid w:val="00C06E45"/>
    <w:rsid w:val="00C414D7"/>
    <w:rsid w:val="00C41F1C"/>
    <w:rsid w:val="00C47A9E"/>
    <w:rsid w:val="00C53359"/>
    <w:rsid w:val="00C602E8"/>
    <w:rsid w:val="00C611A4"/>
    <w:rsid w:val="00C676F5"/>
    <w:rsid w:val="00C73DED"/>
    <w:rsid w:val="00CB1F7E"/>
    <w:rsid w:val="00CC76F1"/>
    <w:rsid w:val="00CD3706"/>
    <w:rsid w:val="00CF44C2"/>
    <w:rsid w:val="00D124B1"/>
    <w:rsid w:val="00D14B2E"/>
    <w:rsid w:val="00D21302"/>
    <w:rsid w:val="00D260FE"/>
    <w:rsid w:val="00D30436"/>
    <w:rsid w:val="00D42EE1"/>
    <w:rsid w:val="00D6076E"/>
    <w:rsid w:val="00D64E94"/>
    <w:rsid w:val="00DB16FC"/>
    <w:rsid w:val="00DB4452"/>
    <w:rsid w:val="00DB5DA0"/>
    <w:rsid w:val="00DD1B77"/>
    <w:rsid w:val="00DD695B"/>
    <w:rsid w:val="00DD6BA2"/>
    <w:rsid w:val="00E06663"/>
    <w:rsid w:val="00E152BE"/>
    <w:rsid w:val="00E335A1"/>
    <w:rsid w:val="00E36722"/>
    <w:rsid w:val="00E4380D"/>
    <w:rsid w:val="00E45A64"/>
    <w:rsid w:val="00E77902"/>
    <w:rsid w:val="00E85A05"/>
    <w:rsid w:val="00E904EE"/>
    <w:rsid w:val="00E94DA3"/>
    <w:rsid w:val="00EB76A8"/>
    <w:rsid w:val="00ED730C"/>
    <w:rsid w:val="00EF34BF"/>
    <w:rsid w:val="00F26EBC"/>
    <w:rsid w:val="00F3105E"/>
    <w:rsid w:val="00F36EC7"/>
    <w:rsid w:val="00F42229"/>
    <w:rsid w:val="00F43D3F"/>
    <w:rsid w:val="00F64BA3"/>
    <w:rsid w:val="00F65032"/>
    <w:rsid w:val="00F87104"/>
    <w:rsid w:val="00FE333A"/>
    <w:rsid w:val="00FF683C"/>
    <w:rsid w:val="00FF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6305C"/>
  <w15:docId w15:val="{97C5A974-737D-440B-90AB-6329A269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861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9D2BD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D2BDD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861A2"/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NormalWeb">
    <w:name w:val="Normal (Web)"/>
    <w:basedOn w:val="Normal"/>
    <w:uiPriority w:val="99"/>
    <w:unhideWhenUsed/>
    <w:rsid w:val="0038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3861A2"/>
    <w:rPr>
      <w:b/>
      <w:bCs/>
    </w:rPr>
  </w:style>
  <w:style w:type="character" w:customStyle="1" w:styleId="apple-converted-space">
    <w:name w:val="apple-converted-space"/>
    <w:basedOn w:val="Fuentedeprrafopredeter"/>
    <w:rsid w:val="003861A2"/>
  </w:style>
  <w:style w:type="paragraph" w:styleId="Prrafodelista">
    <w:name w:val="List Paragraph"/>
    <w:basedOn w:val="Normal"/>
    <w:uiPriority w:val="34"/>
    <w:qFormat/>
    <w:rsid w:val="00765576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F36EC7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A3C8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3C88"/>
    <w:rPr>
      <w:color w:val="605E5C"/>
      <w:shd w:val="clear" w:color="auto" w:fill="E1DFDD"/>
    </w:rPr>
  </w:style>
  <w:style w:type="paragraph" w:customStyle="1" w:styleId="Default">
    <w:name w:val="Default"/>
    <w:rsid w:val="00B86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A96BDF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6241D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84A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4A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4A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4A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4A7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7342">
          <w:marLeft w:val="0"/>
          <w:marRight w:val="0"/>
          <w:marTop w:val="0"/>
          <w:marBottom w:val="0"/>
          <w:divBdr>
            <w:top w:val="single" w:sz="6" w:space="3" w:color="808080"/>
            <w:left w:val="single" w:sz="6" w:space="15" w:color="808080"/>
            <w:bottom w:val="single" w:sz="6" w:space="8" w:color="808080"/>
            <w:right w:val="single" w:sz="6" w:space="15" w:color="808080"/>
          </w:divBdr>
          <w:divsChild>
            <w:div w:id="16136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125">
          <w:marLeft w:val="0"/>
          <w:marRight w:val="0"/>
          <w:marTop w:val="0"/>
          <w:marBottom w:val="0"/>
          <w:divBdr>
            <w:top w:val="single" w:sz="6" w:space="3" w:color="808080"/>
            <w:left w:val="single" w:sz="6" w:space="15" w:color="808080"/>
            <w:bottom w:val="single" w:sz="6" w:space="8" w:color="808080"/>
            <w:right w:val="single" w:sz="6" w:space="15" w:color="808080"/>
          </w:divBdr>
          <w:divsChild>
            <w:div w:id="21034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4729">
          <w:marLeft w:val="0"/>
          <w:marRight w:val="0"/>
          <w:marTop w:val="0"/>
          <w:marBottom w:val="0"/>
          <w:divBdr>
            <w:top w:val="single" w:sz="6" w:space="3" w:color="808080"/>
            <w:left w:val="single" w:sz="6" w:space="15" w:color="808080"/>
            <w:bottom w:val="single" w:sz="6" w:space="8" w:color="808080"/>
            <w:right w:val="single" w:sz="6" w:space="15" w:color="808080"/>
          </w:divBdr>
          <w:divsChild>
            <w:div w:id="10087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gpp.gov.co/nuestra-entidad/proyectos-normati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Cifuentes Jimenez</dc:creator>
  <cp:lastModifiedBy>CLAUDIA ALEJANDRA CAICEDO BORRAS</cp:lastModifiedBy>
  <cp:revision>3</cp:revision>
  <dcterms:created xsi:type="dcterms:W3CDTF">2022-02-14T17:58:00Z</dcterms:created>
  <dcterms:modified xsi:type="dcterms:W3CDTF">2022-02-14T19:01:00Z</dcterms:modified>
</cp:coreProperties>
</file>