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7715" w14:textId="2A454F0B" w:rsidR="00EB6716" w:rsidRPr="008734B1" w:rsidRDefault="00531FA3" w:rsidP="00B27D42">
      <w:pPr>
        <w:pStyle w:val="Textoindependiente"/>
        <w:widowControl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SOPORTE TECNICO PROYECTO DE RESOLUCION</w:t>
      </w:r>
      <w:bookmarkStart w:id="0" w:name="_GoBack"/>
      <w:bookmarkEnd w:id="0"/>
      <w:r w:rsidR="00EB6716" w:rsidRPr="008734B1">
        <w:rPr>
          <w:rFonts w:ascii="Arial Narrow" w:hAnsi="Arial Narrow"/>
          <w:b/>
        </w:rPr>
        <w:t xml:space="preserve">  </w:t>
      </w:r>
    </w:p>
    <w:p w14:paraId="2F8E4569" w14:textId="77777777" w:rsidR="00576731" w:rsidRPr="008734B1" w:rsidRDefault="00576731" w:rsidP="00B27D42">
      <w:pPr>
        <w:pStyle w:val="Textoindependiente"/>
        <w:widowControl/>
        <w:jc w:val="center"/>
        <w:rPr>
          <w:rFonts w:ascii="Arial Narrow" w:hAnsi="Arial Narrow"/>
          <w:b/>
          <w:i/>
        </w:rPr>
      </w:pPr>
    </w:p>
    <w:p w14:paraId="00098C77" w14:textId="3B2FC830" w:rsidR="0087787A" w:rsidRPr="008734B1" w:rsidRDefault="008F0364" w:rsidP="008734B1">
      <w:pPr>
        <w:tabs>
          <w:tab w:val="left" w:pos="5693"/>
        </w:tabs>
        <w:spacing w:before="100" w:beforeAutospacing="1" w:after="100" w:afterAutospacing="1" w:line="240" w:lineRule="auto"/>
        <w:contextualSpacing/>
        <w:jc w:val="center"/>
        <w:rPr>
          <w:rFonts w:ascii="Arial Narrow" w:eastAsia="Calibri" w:hAnsi="Arial Narrow" w:cs="Arial"/>
          <w:i/>
          <w:iCs/>
          <w:sz w:val="24"/>
          <w:szCs w:val="24"/>
        </w:rPr>
      </w:pPr>
      <w:r w:rsidRPr="008734B1">
        <w:rPr>
          <w:rFonts w:ascii="Arial Narrow" w:hAnsi="Arial Narrow" w:cs="Arial"/>
          <w:i/>
          <w:sz w:val="24"/>
          <w:szCs w:val="24"/>
          <w:lang w:val="es-CO"/>
        </w:rPr>
        <w:t>“</w:t>
      </w:r>
      <w:r w:rsidR="006E4E09" w:rsidRPr="008734B1">
        <w:rPr>
          <w:rFonts w:ascii="Arial Narrow" w:eastAsia="Calibri" w:hAnsi="Arial Narrow" w:cs="Arial"/>
          <w:i/>
          <w:iCs/>
          <w:sz w:val="24"/>
          <w:szCs w:val="24"/>
        </w:rPr>
        <w:t>Por la cual se adopta el esquema de presunción de costos para los trabajadores independientes por cuenta propia y los trabajadores independientes con contratos diferentes a prestación de servicios personales, incluidos los rentistas de capital, conforme a su actividad económica</w:t>
      </w:r>
      <w:r w:rsidR="00B203E7" w:rsidRPr="008734B1">
        <w:rPr>
          <w:rFonts w:ascii="Arial Narrow" w:eastAsia="Times New Roman" w:hAnsi="Arial Narrow" w:cs="Arial"/>
          <w:i/>
          <w:sz w:val="24"/>
          <w:szCs w:val="24"/>
        </w:rPr>
        <w:t>.</w:t>
      </w:r>
      <w:r w:rsidRPr="008734B1">
        <w:rPr>
          <w:rFonts w:ascii="Arial Narrow" w:hAnsi="Arial Narrow" w:cs="Arial"/>
          <w:i/>
          <w:sz w:val="24"/>
          <w:szCs w:val="24"/>
          <w:lang w:val="es-CO"/>
        </w:rPr>
        <w:t>”</w:t>
      </w:r>
    </w:p>
    <w:p w14:paraId="095E5101" w14:textId="77777777" w:rsidR="008F0364" w:rsidRPr="008734B1" w:rsidRDefault="008F0364" w:rsidP="008F0364">
      <w:pPr>
        <w:pStyle w:val="Textoindependiente"/>
        <w:widowControl/>
        <w:ind w:left="720"/>
        <w:rPr>
          <w:rFonts w:ascii="Arial Narrow" w:hAnsi="Arial Narrow"/>
          <w:b/>
        </w:rPr>
      </w:pPr>
    </w:p>
    <w:p w14:paraId="02564772" w14:textId="77777777" w:rsidR="008F0364" w:rsidRPr="008734B1" w:rsidRDefault="00EB41DE" w:rsidP="00EB41DE">
      <w:pPr>
        <w:pStyle w:val="Textoindependiente"/>
        <w:widowControl/>
        <w:rPr>
          <w:rFonts w:ascii="Arial Narrow" w:hAnsi="Arial Narrow"/>
          <w:b/>
        </w:rPr>
      </w:pPr>
      <w:r w:rsidRPr="008734B1">
        <w:rPr>
          <w:rFonts w:ascii="Arial Narrow" w:hAnsi="Arial Narrow"/>
          <w:b/>
        </w:rPr>
        <w:t xml:space="preserve">1. </w:t>
      </w:r>
      <w:r w:rsidR="00640975" w:rsidRPr="008734B1">
        <w:rPr>
          <w:rFonts w:ascii="Arial Narrow" w:hAnsi="Arial Narrow"/>
          <w:b/>
        </w:rPr>
        <w:t xml:space="preserve">ANTECEDENTES  - </w:t>
      </w:r>
      <w:r w:rsidR="008F0364" w:rsidRPr="008734B1">
        <w:rPr>
          <w:rFonts w:ascii="Arial Narrow" w:hAnsi="Arial Narrow"/>
          <w:b/>
        </w:rPr>
        <w:t xml:space="preserve"> RAZONES DE OPORTUNIDAD Y CONVENIENCIA</w:t>
      </w:r>
    </w:p>
    <w:p w14:paraId="42FF8466" w14:textId="77777777" w:rsidR="002444C5" w:rsidRPr="008734B1" w:rsidRDefault="002444C5" w:rsidP="002444C5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5F87163D" w14:textId="35E4B0E1" w:rsidR="00B203E7" w:rsidRPr="008734B1" w:rsidRDefault="006E4E09" w:rsidP="00B203E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  <w:r w:rsidRPr="008734B1">
        <w:rPr>
          <w:rFonts w:ascii="Arial Narrow" w:hAnsi="Arial Narrow" w:cs="Arial"/>
          <w:sz w:val="24"/>
          <w:szCs w:val="24"/>
          <w:lang w:val="es-CO"/>
        </w:rPr>
        <w:t>El artículo</w:t>
      </w:r>
      <w:r w:rsidR="00B203E7" w:rsidRPr="008734B1">
        <w:rPr>
          <w:rFonts w:ascii="Arial Narrow" w:hAnsi="Arial Narrow" w:cs="Arial"/>
          <w:sz w:val="24"/>
          <w:szCs w:val="24"/>
          <w:lang w:val="es-CO"/>
        </w:rPr>
        <w:t xml:space="preserve"> 244 de la Ley 1955 de 2019 por el cual se expide el Plan Nacional de Desarrollo  2018-2022.  "</w:t>
      </w:r>
      <w:r w:rsidR="00B203E7" w:rsidRPr="008734B1">
        <w:rPr>
          <w:rFonts w:ascii="Arial Narrow" w:hAnsi="Arial Narrow" w:cs="Arial"/>
          <w:i/>
          <w:iCs/>
          <w:sz w:val="24"/>
          <w:szCs w:val="24"/>
          <w:lang w:val="es-CO"/>
        </w:rPr>
        <w:t>Pacto por Colombia, pacto por la Equidad</w:t>
      </w:r>
      <w:r w:rsidR="00B203E7" w:rsidRPr="008734B1">
        <w:rPr>
          <w:rFonts w:ascii="Arial Narrow" w:hAnsi="Arial Narrow" w:cs="Arial"/>
          <w:sz w:val="24"/>
          <w:szCs w:val="24"/>
          <w:lang w:val="es-CO"/>
        </w:rPr>
        <w:t>", dispone que los independientes por cuenta propia y los trabajadores independientes con contratos diferentes a pre</w:t>
      </w:r>
      <w:r w:rsidR="005A5C19" w:rsidRPr="008734B1">
        <w:rPr>
          <w:rFonts w:ascii="Arial Narrow" w:hAnsi="Arial Narrow" w:cs="Arial"/>
          <w:sz w:val="24"/>
          <w:szCs w:val="24"/>
          <w:lang w:val="es-CO"/>
        </w:rPr>
        <w:t xml:space="preserve">stación de servicios personales, incluidos los rentistas de capital </w:t>
      </w:r>
      <w:r w:rsidR="00B203E7" w:rsidRPr="008734B1">
        <w:rPr>
          <w:rFonts w:ascii="Arial Narrow" w:hAnsi="Arial Narrow" w:cs="Arial"/>
          <w:sz w:val="24"/>
          <w:szCs w:val="24"/>
          <w:lang w:val="es-CO"/>
        </w:rPr>
        <w:t>con ingresos netos iguales o superiores a un (1) salario mínimo legal mensual vigente efectuarán su cotización mes vencido, sobre una base mínima de cotización del 40% del valor mensualizado de los ingresos, sin incluir el valor del Impuesto al Valor Agregado – IVA, señalando que en estos casos será procedente la imputación de costos y deducciones siempre que se cumplan los criterios determinados en el artículo 107 del Estatuto Tributario y sin exceder los valores incluidos en la declaración de renta de la respectiva vigencia.</w:t>
      </w:r>
    </w:p>
    <w:p w14:paraId="5F313976" w14:textId="77777777" w:rsidR="00B203E7" w:rsidRPr="008734B1" w:rsidRDefault="00B203E7" w:rsidP="00B203E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7E763A42" w14:textId="03D86DA0" w:rsidR="00B203E7" w:rsidRPr="008734B1" w:rsidRDefault="00B203E7" w:rsidP="00B203E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  <w:r w:rsidRPr="008734B1">
        <w:rPr>
          <w:rFonts w:ascii="Arial Narrow" w:hAnsi="Arial Narrow" w:cs="Arial"/>
          <w:sz w:val="24"/>
          <w:szCs w:val="24"/>
          <w:lang w:val="es-CO"/>
        </w:rPr>
        <w:t xml:space="preserve">De igual manera el parágrafo de esta misma disposición, dispone que para efectos de la determinación del ingreso base de cotización de los trabajadores independientes por cuenta propia y para quienes celebren contratos diferentes al de prestación de servicios </w:t>
      </w:r>
      <w:r w:rsidR="006E4E09" w:rsidRPr="008734B1">
        <w:rPr>
          <w:rFonts w:ascii="Arial Narrow" w:hAnsi="Arial Narrow" w:cs="Arial"/>
          <w:sz w:val="24"/>
          <w:szCs w:val="24"/>
          <w:lang w:val="es-CO"/>
        </w:rPr>
        <w:t xml:space="preserve">personales, </w:t>
      </w:r>
      <w:r w:rsidRPr="008734B1">
        <w:rPr>
          <w:rFonts w:ascii="Arial Narrow" w:hAnsi="Arial Narrow" w:cs="Arial"/>
          <w:sz w:val="24"/>
          <w:szCs w:val="24"/>
          <w:lang w:val="es-CO"/>
        </w:rPr>
        <w:t>que impliquen subcontratación y/o compra de insumos o expensas, la Unidad Administrativa Especial de Gestión Pensional y Contribuciones Parafiscales de la Protección Social –UGPP deberá determinar un esquema de presunción de costos atendiendo a los datos estadísticos producidos por la Dirección de Impuestos y Aduanas Nacionales - DIAN, por el Departamento Administrativo Nacional de Estadística, por el Banco de la República, por la Superintendencia de Sociedades u otras entidades cuyas estadísticas fueren aplicables.</w:t>
      </w:r>
    </w:p>
    <w:p w14:paraId="18A5E061" w14:textId="77777777" w:rsidR="00B203E7" w:rsidRPr="008734B1" w:rsidRDefault="00B203E7" w:rsidP="00B203E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2E9D9A05" w14:textId="4619EA82" w:rsidR="0087514F" w:rsidRPr="008734B1" w:rsidRDefault="00B203E7" w:rsidP="00B203E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  <w:r w:rsidRPr="008734B1">
        <w:rPr>
          <w:rFonts w:ascii="Arial Narrow" w:hAnsi="Arial Narrow" w:cs="Arial"/>
          <w:sz w:val="24"/>
          <w:szCs w:val="24"/>
          <w:lang w:val="es-CO"/>
        </w:rPr>
        <w:t xml:space="preserve">Que en ejercicio de las facultad otorgada, la Unidad Administrativa Especial de Gestión Pensional y Contribuciones Parafiscales de la Protección Social –UGPP, considera de </w:t>
      </w:r>
      <w:r w:rsidR="006E4E09" w:rsidRPr="008734B1">
        <w:rPr>
          <w:rFonts w:ascii="Arial Narrow" w:hAnsi="Arial Narrow" w:cs="Arial"/>
          <w:sz w:val="24"/>
          <w:szCs w:val="24"/>
          <w:lang w:val="es-CO"/>
        </w:rPr>
        <w:t>transcendental</w:t>
      </w:r>
      <w:r w:rsidRPr="008734B1">
        <w:rPr>
          <w:rFonts w:ascii="Arial Narrow" w:hAnsi="Arial Narrow" w:cs="Arial"/>
          <w:sz w:val="24"/>
          <w:szCs w:val="24"/>
          <w:lang w:val="es-CO"/>
        </w:rPr>
        <w:t xml:space="preserve"> importancia adoptar el esquema de presunción de costos para </w:t>
      </w:r>
      <w:r w:rsidR="005A5C19" w:rsidRPr="008734B1">
        <w:rPr>
          <w:rFonts w:ascii="Arial Narrow" w:hAnsi="Arial Narrow" w:cs="Arial"/>
          <w:sz w:val="24"/>
          <w:szCs w:val="24"/>
          <w:lang w:val="es-CO"/>
        </w:rPr>
        <w:t xml:space="preserve">esta </w:t>
      </w:r>
      <w:r w:rsidR="006E4E09" w:rsidRPr="008734B1">
        <w:rPr>
          <w:rFonts w:ascii="Arial Narrow" w:hAnsi="Arial Narrow" w:cs="Arial"/>
          <w:sz w:val="24"/>
          <w:szCs w:val="24"/>
          <w:lang w:val="es-CO"/>
        </w:rPr>
        <w:t xml:space="preserve">tipología </w:t>
      </w:r>
      <w:r w:rsidR="005A5C19" w:rsidRPr="008734B1">
        <w:rPr>
          <w:rFonts w:ascii="Arial Narrow" w:hAnsi="Arial Narrow" w:cs="Arial"/>
          <w:sz w:val="24"/>
          <w:szCs w:val="24"/>
          <w:lang w:val="es-CO"/>
        </w:rPr>
        <w:t>de trabajadores</w:t>
      </w:r>
      <w:r w:rsidRPr="008734B1">
        <w:rPr>
          <w:rFonts w:ascii="Arial Narrow" w:hAnsi="Arial Narrow" w:cs="Arial"/>
          <w:sz w:val="24"/>
          <w:szCs w:val="24"/>
          <w:lang w:val="es-CO"/>
        </w:rPr>
        <w:t xml:space="preserve"> </w:t>
      </w:r>
      <w:r w:rsidR="00D75F8B" w:rsidRPr="008734B1">
        <w:rPr>
          <w:rFonts w:ascii="Arial Narrow" w:hAnsi="Arial Narrow" w:cs="Arial"/>
          <w:sz w:val="24"/>
          <w:szCs w:val="24"/>
          <w:lang w:val="es-CO"/>
        </w:rPr>
        <w:t xml:space="preserve">independientes </w:t>
      </w:r>
      <w:r w:rsidRPr="008734B1">
        <w:rPr>
          <w:rFonts w:ascii="Arial Narrow" w:hAnsi="Arial Narrow" w:cs="Arial"/>
          <w:sz w:val="24"/>
          <w:szCs w:val="24"/>
          <w:lang w:val="es-CO"/>
        </w:rPr>
        <w:t>para lo cual presenta una propuesta de presunción de coeficientes de costos, construida a partir del análisis de la  información tributaria de estos  trabajadores con ingresos  no laborales, así como independientes con rentas de capital</w:t>
      </w:r>
      <w:r w:rsidR="00D75F8B" w:rsidRPr="008734B1">
        <w:rPr>
          <w:rFonts w:ascii="Arial Narrow" w:hAnsi="Arial Narrow" w:cs="Arial"/>
          <w:sz w:val="24"/>
          <w:szCs w:val="24"/>
          <w:lang w:val="es-CO"/>
        </w:rPr>
        <w:t xml:space="preserve">, </w:t>
      </w:r>
      <w:r w:rsidR="006A0EF4">
        <w:rPr>
          <w:rFonts w:ascii="Arial Narrow" w:hAnsi="Arial Narrow" w:cs="Arial"/>
          <w:sz w:val="24"/>
          <w:szCs w:val="24"/>
          <w:lang w:val="es-CO"/>
        </w:rPr>
        <w:t>d</w:t>
      </w:r>
      <w:r w:rsidRPr="008734B1">
        <w:rPr>
          <w:rFonts w:ascii="Arial Narrow" w:hAnsi="Arial Narrow" w:cs="Arial"/>
          <w:sz w:val="24"/>
          <w:szCs w:val="24"/>
          <w:lang w:val="es-CO"/>
        </w:rPr>
        <w:t>efiniendo unos porcentajes de costos a reconocer de acuerdo con el ejercicio eficiente de cada  actividad económica</w:t>
      </w:r>
      <w:r w:rsidR="00130476" w:rsidRPr="008734B1">
        <w:rPr>
          <w:rFonts w:ascii="Arial Narrow" w:hAnsi="Arial Narrow" w:cs="Arial"/>
          <w:sz w:val="24"/>
          <w:szCs w:val="24"/>
          <w:lang w:val="es-CO"/>
        </w:rPr>
        <w:t>, sin perjuicio del derecho de éstos a establecer costos diferentes a los allí establecidos, siempre y cuando dispongan de los documentos que soporten los costos y deducciones, los cuales deben cumplir los requisitos establecidos en el artículo 107 del Estatuto Tributario y demás normas que regulen las exigencias para la validez de dichos documentos.</w:t>
      </w:r>
    </w:p>
    <w:p w14:paraId="6F2A6ECE" w14:textId="77777777" w:rsidR="00B203E7" w:rsidRPr="008734B1" w:rsidRDefault="00B203E7" w:rsidP="00B203E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49E9CF7E" w14:textId="77777777" w:rsidR="00B203E7" w:rsidRPr="008734B1" w:rsidRDefault="00B203E7" w:rsidP="00B203E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3E35C719" w14:textId="1EF5B439" w:rsidR="00384A8A" w:rsidRDefault="0087514F" w:rsidP="008734B1">
      <w:pPr>
        <w:shd w:val="clear" w:color="auto" w:fill="FFFFFF"/>
        <w:jc w:val="both"/>
        <w:rPr>
          <w:rFonts w:ascii="Arial Narrow" w:hAnsi="Arial Narrow" w:cs="Arial"/>
          <w:sz w:val="24"/>
          <w:szCs w:val="24"/>
          <w:lang w:val="es-CO"/>
        </w:rPr>
      </w:pPr>
      <w:r w:rsidRPr="008734B1">
        <w:rPr>
          <w:rFonts w:ascii="Arial Narrow" w:hAnsi="Arial Narrow" w:cs="Arial"/>
          <w:sz w:val="24"/>
          <w:szCs w:val="24"/>
          <w:lang w:val="es-CO"/>
        </w:rPr>
        <w:lastRenderedPageBreak/>
        <w:t xml:space="preserve">De acuerdo con lo anterior, las razones de oportunidad </w:t>
      </w:r>
      <w:r w:rsidR="008734B1">
        <w:rPr>
          <w:rFonts w:ascii="Arial Narrow" w:hAnsi="Arial Narrow" w:cs="Arial"/>
          <w:sz w:val="24"/>
          <w:szCs w:val="24"/>
          <w:lang w:val="es-CO"/>
        </w:rPr>
        <w:t xml:space="preserve">y conveniencia </w:t>
      </w:r>
      <w:r w:rsidRPr="008734B1">
        <w:rPr>
          <w:rFonts w:ascii="Arial Narrow" w:hAnsi="Arial Narrow" w:cs="Arial"/>
          <w:sz w:val="24"/>
          <w:szCs w:val="24"/>
          <w:lang w:val="es-CO"/>
        </w:rPr>
        <w:t>en la expedición de la norma, radican en la necesidad de</w:t>
      </w:r>
      <w:r w:rsidR="009017DF" w:rsidRPr="008734B1">
        <w:rPr>
          <w:rFonts w:ascii="Arial Narrow" w:hAnsi="Arial Narrow" w:cs="Arial"/>
          <w:sz w:val="24"/>
          <w:szCs w:val="24"/>
          <w:lang w:val="es-CO"/>
        </w:rPr>
        <w:t>:</w:t>
      </w:r>
      <w:r w:rsidR="004C25A1" w:rsidRPr="008734B1">
        <w:rPr>
          <w:rFonts w:ascii="Arial Narrow" w:hAnsi="Arial Narrow" w:cs="Arial"/>
          <w:sz w:val="24"/>
          <w:szCs w:val="24"/>
          <w:lang w:val="es-CO"/>
        </w:rPr>
        <w:t xml:space="preserve"> </w:t>
      </w:r>
      <w:r w:rsidR="009C2FE6" w:rsidRPr="008734B1">
        <w:rPr>
          <w:rFonts w:ascii="Arial Narrow" w:hAnsi="Arial Narrow" w:cs="Arial"/>
          <w:sz w:val="24"/>
          <w:szCs w:val="24"/>
          <w:lang w:val="es-CO"/>
        </w:rPr>
        <w:t xml:space="preserve">(i) </w:t>
      </w:r>
      <w:r w:rsidR="008734B1">
        <w:rPr>
          <w:rFonts w:ascii="Arial Narrow" w:hAnsi="Arial Narrow" w:cs="Arial"/>
          <w:sz w:val="24"/>
          <w:szCs w:val="24"/>
          <w:lang w:val="es-CO"/>
        </w:rPr>
        <w:t>F</w:t>
      </w:r>
      <w:r w:rsidR="00B203E7" w:rsidRPr="008734B1">
        <w:rPr>
          <w:rFonts w:ascii="Arial Narrow" w:hAnsi="Arial Narrow" w:cs="Arial"/>
          <w:sz w:val="24"/>
          <w:szCs w:val="24"/>
          <w:lang w:val="es-CO"/>
        </w:rPr>
        <w:t>acilita</w:t>
      </w:r>
      <w:r w:rsidR="00130476" w:rsidRPr="008734B1">
        <w:rPr>
          <w:rFonts w:ascii="Arial Narrow" w:hAnsi="Arial Narrow" w:cs="Arial"/>
          <w:sz w:val="24"/>
          <w:szCs w:val="24"/>
          <w:lang w:val="es-CO"/>
        </w:rPr>
        <w:t xml:space="preserve">r </w:t>
      </w:r>
      <w:r w:rsidR="008734B1">
        <w:rPr>
          <w:rFonts w:ascii="Arial Narrow" w:hAnsi="Arial Narrow" w:cs="Arial"/>
          <w:sz w:val="24"/>
          <w:szCs w:val="24"/>
          <w:lang w:val="es-CO"/>
        </w:rPr>
        <w:t xml:space="preserve"> el cumplimiento adecuado y oportuno de las obligaciones por parte de los independientes</w:t>
      </w:r>
      <w:r w:rsidR="008734B1" w:rsidRPr="008734B1">
        <w:rPr>
          <w:rFonts w:ascii="Arial Narrow" w:hAnsi="Arial Narrow" w:cs="Arial"/>
          <w:sz w:val="24"/>
          <w:szCs w:val="24"/>
          <w:lang w:val="es-CO"/>
        </w:rPr>
        <w:t xml:space="preserve"> </w:t>
      </w:r>
      <w:r w:rsidR="00384A8A">
        <w:rPr>
          <w:rFonts w:ascii="Arial Narrow" w:hAnsi="Arial Narrow" w:cs="Arial"/>
          <w:sz w:val="24"/>
          <w:szCs w:val="24"/>
          <w:lang w:val="es-CO"/>
        </w:rPr>
        <w:t xml:space="preserve"> </w:t>
      </w:r>
      <w:r w:rsidR="00DB7E6A">
        <w:rPr>
          <w:rFonts w:ascii="Arial Narrow" w:hAnsi="Arial Narrow" w:cs="Arial"/>
          <w:sz w:val="24"/>
          <w:szCs w:val="24"/>
          <w:lang w:val="es-CO"/>
        </w:rPr>
        <w:t xml:space="preserve">lo cual </w:t>
      </w:r>
      <w:r w:rsidR="00DB7E6A" w:rsidRPr="008734B1">
        <w:rPr>
          <w:rFonts w:ascii="Arial Narrow" w:hAnsi="Arial Narrow" w:cs="Arial"/>
          <w:sz w:val="24"/>
          <w:szCs w:val="24"/>
          <w:lang w:val="es-CO"/>
        </w:rPr>
        <w:t>contribu</w:t>
      </w:r>
      <w:r w:rsidR="00DB7E6A">
        <w:rPr>
          <w:rFonts w:ascii="Arial Narrow" w:hAnsi="Arial Narrow" w:cs="Arial"/>
          <w:sz w:val="24"/>
          <w:szCs w:val="24"/>
          <w:lang w:val="es-CO"/>
        </w:rPr>
        <w:t xml:space="preserve">ye </w:t>
      </w:r>
      <w:r w:rsidR="00DB7E6A" w:rsidRPr="008734B1">
        <w:rPr>
          <w:rFonts w:ascii="Arial Narrow" w:hAnsi="Arial Narrow" w:cs="Arial"/>
          <w:sz w:val="24"/>
          <w:szCs w:val="24"/>
          <w:lang w:val="es-CO"/>
        </w:rPr>
        <w:t xml:space="preserve"> a disminuir la evasión o inexactitud en el pago de los </w:t>
      </w:r>
      <w:r w:rsidR="00DB7E6A">
        <w:rPr>
          <w:rFonts w:ascii="Arial Narrow" w:hAnsi="Arial Narrow" w:cs="Arial"/>
          <w:sz w:val="24"/>
          <w:szCs w:val="24"/>
          <w:lang w:val="es-CO"/>
        </w:rPr>
        <w:t xml:space="preserve">aportes al Sistema de Seguridad Social  </w:t>
      </w:r>
      <w:r w:rsidR="008734B1">
        <w:rPr>
          <w:rFonts w:ascii="Arial Narrow" w:hAnsi="Arial Narrow" w:cs="Arial"/>
          <w:sz w:val="24"/>
          <w:szCs w:val="24"/>
          <w:lang w:val="es-CO"/>
        </w:rPr>
        <w:t xml:space="preserve">(ii) </w:t>
      </w:r>
      <w:r w:rsidR="00384A8A">
        <w:rPr>
          <w:rFonts w:ascii="Arial Narrow" w:hAnsi="Arial Narrow" w:cs="Arial"/>
          <w:sz w:val="24"/>
          <w:szCs w:val="24"/>
          <w:lang w:val="es-CO"/>
        </w:rPr>
        <w:t>Permitir la</w:t>
      </w:r>
      <w:r w:rsidR="008734B1">
        <w:rPr>
          <w:rFonts w:ascii="Arial Narrow" w:hAnsi="Arial Narrow" w:cs="Arial"/>
          <w:sz w:val="24"/>
          <w:szCs w:val="24"/>
          <w:lang w:val="es-CO"/>
        </w:rPr>
        <w:t xml:space="preserve"> e</w:t>
      </w:r>
      <w:r w:rsidR="008734B1" w:rsidRPr="008734B1">
        <w:rPr>
          <w:rFonts w:ascii="Arial Narrow" w:hAnsi="Arial Narrow" w:cs="Arial"/>
          <w:sz w:val="24"/>
          <w:szCs w:val="24"/>
          <w:lang w:val="es-CO"/>
        </w:rPr>
        <w:t>xpedición de actos administrativos en los cuales se reconozcan los costos eficie</w:t>
      </w:r>
      <w:r w:rsidR="00384A8A">
        <w:rPr>
          <w:rFonts w:ascii="Arial Narrow" w:hAnsi="Arial Narrow" w:cs="Arial"/>
          <w:sz w:val="24"/>
          <w:szCs w:val="24"/>
          <w:lang w:val="es-CO"/>
        </w:rPr>
        <w:t>ntes a favor de los aportantes (iii)  Lograr e</w:t>
      </w:r>
      <w:r w:rsidR="008734B1" w:rsidRPr="008734B1">
        <w:rPr>
          <w:rFonts w:ascii="Arial Narrow" w:hAnsi="Arial Narrow" w:cs="Arial"/>
          <w:sz w:val="24"/>
          <w:szCs w:val="24"/>
          <w:lang w:val="es-CO"/>
        </w:rPr>
        <w:t>ficiencia en la fiscalización, al disminuir la carga operativa de los aportantes, quienes no tendrían que acreditar todos los documentos soportes de sus costos.</w:t>
      </w:r>
    </w:p>
    <w:p w14:paraId="3C0050C2" w14:textId="77777777" w:rsidR="00B27D42" w:rsidRPr="008734B1" w:rsidRDefault="00F435CB" w:rsidP="004C25A1">
      <w:pPr>
        <w:shd w:val="clear" w:color="auto" w:fill="FFFFFF"/>
        <w:jc w:val="both"/>
        <w:rPr>
          <w:rFonts w:ascii="Arial Narrow" w:hAnsi="Arial Narrow" w:cs="Arial"/>
          <w:b/>
          <w:sz w:val="24"/>
          <w:szCs w:val="24"/>
          <w:lang w:val="es-CO"/>
        </w:rPr>
      </w:pPr>
      <w:r w:rsidRPr="008734B1">
        <w:rPr>
          <w:rFonts w:ascii="Arial Narrow" w:eastAsia="MS Mincho" w:hAnsi="Arial Narrow" w:cs="Arial"/>
          <w:sz w:val="24"/>
          <w:szCs w:val="24"/>
          <w:lang w:eastAsia="es-ES"/>
        </w:rPr>
        <w:t xml:space="preserve"> </w:t>
      </w:r>
      <w:r w:rsidR="00EB41DE" w:rsidRPr="008734B1">
        <w:rPr>
          <w:rFonts w:ascii="Arial Narrow" w:hAnsi="Arial Narrow" w:cs="Arial"/>
          <w:b/>
          <w:sz w:val="24"/>
          <w:szCs w:val="24"/>
          <w:lang w:val="es-CO"/>
        </w:rPr>
        <w:t xml:space="preserve">2. </w:t>
      </w:r>
      <w:r w:rsidR="00EB41DE" w:rsidRPr="008734B1">
        <w:rPr>
          <w:rFonts w:ascii="Arial Narrow" w:hAnsi="Arial Narrow" w:cs="Arial"/>
          <w:b/>
          <w:sz w:val="24"/>
          <w:szCs w:val="24"/>
        </w:rPr>
        <w:t>Á</w:t>
      </w:r>
      <w:r w:rsidR="00EB41DE" w:rsidRPr="008734B1">
        <w:rPr>
          <w:rFonts w:ascii="Arial Narrow" w:hAnsi="Arial Narrow" w:cs="Arial"/>
          <w:b/>
          <w:sz w:val="24"/>
          <w:szCs w:val="24"/>
          <w:lang w:val="es-CO"/>
        </w:rPr>
        <w:t>MBITO DE APLICACIÓN DEL ACTO Y LOS SUJETOS A QUIENES VA DIRIGIDO</w:t>
      </w:r>
    </w:p>
    <w:p w14:paraId="732707B4" w14:textId="088FB192" w:rsidR="0087514F" w:rsidRPr="008734B1" w:rsidRDefault="00D75F8B" w:rsidP="0087514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  <w:r w:rsidRPr="008734B1">
        <w:rPr>
          <w:rFonts w:ascii="Arial Narrow" w:hAnsi="Arial Narrow" w:cs="Arial"/>
          <w:sz w:val="24"/>
          <w:szCs w:val="24"/>
          <w:lang w:val="es-CO"/>
        </w:rPr>
        <w:t xml:space="preserve">La presente propuesta normativa tiene como destinatarios a </w:t>
      </w:r>
      <w:r w:rsidR="00130476" w:rsidRPr="008734B1">
        <w:rPr>
          <w:rFonts w:ascii="Arial Narrow" w:hAnsi="Arial Narrow" w:cs="Arial"/>
          <w:sz w:val="24"/>
          <w:szCs w:val="24"/>
          <w:lang w:val="es-CO"/>
        </w:rPr>
        <w:t>los trabajadores independientes por cuenta propia y para quienes celebren contratos diferentes al de prestación de servicios personales</w:t>
      </w:r>
      <w:r w:rsidRPr="008734B1">
        <w:rPr>
          <w:rFonts w:ascii="Arial Narrow" w:hAnsi="Arial Narrow" w:cs="Arial"/>
          <w:sz w:val="24"/>
          <w:szCs w:val="24"/>
          <w:lang w:val="es-CO"/>
        </w:rPr>
        <w:t>, incluidos los rentistas de capital.</w:t>
      </w:r>
    </w:p>
    <w:p w14:paraId="177984A6" w14:textId="77777777" w:rsidR="006A0EF4" w:rsidRDefault="006A0EF4" w:rsidP="00EB41DE">
      <w:pPr>
        <w:jc w:val="both"/>
        <w:rPr>
          <w:rFonts w:ascii="Arial Narrow" w:hAnsi="Arial Narrow" w:cs="Arial"/>
          <w:b/>
          <w:sz w:val="24"/>
          <w:szCs w:val="24"/>
          <w:lang w:val="es-CO"/>
        </w:rPr>
      </w:pPr>
    </w:p>
    <w:p w14:paraId="56F65500" w14:textId="77777777" w:rsidR="00B27D42" w:rsidRPr="008734B1" w:rsidRDefault="00EB41DE" w:rsidP="00EB41DE">
      <w:pPr>
        <w:jc w:val="both"/>
        <w:rPr>
          <w:rFonts w:ascii="Arial Narrow" w:hAnsi="Arial Narrow" w:cs="Arial"/>
          <w:b/>
          <w:sz w:val="24"/>
          <w:szCs w:val="24"/>
          <w:lang w:val="es-CO"/>
        </w:rPr>
      </w:pPr>
      <w:r w:rsidRPr="008734B1">
        <w:rPr>
          <w:rFonts w:ascii="Arial Narrow" w:hAnsi="Arial Narrow" w:cs="Arial"/>
          <w:b/>
          <w:sz w:val="24"/>
          <w:szCs w:val="24"/>
          <w:lang w:val="es-CO"/>
        </w:rPr>
        <w:t>3. VIABILIDAD JURÍDICA</w:t>
      </w:r>
    </w:p>
    <w:p w14:paraId="4327CFBF" w14:textId="7D404B8B" w:rsidR="0087514F" w:rsidRPr="008734B1" w:rsidRDefault="0087514F" w:rsidP="0087514F">
      <w:pPr>
        <w:jc w:val="both"/>
        <w:rPr>
          <w:rFonts w:ascii="Arial Narrow" w:hAnsi="Arial Narrow" w:cs="Arial"/>
          <w:sz w:val="24"/>
          <w:szCs w:val="24"/>
          <w:lang w:val="es-CO"/>
        </w:rPr>
      </w:pPr>
      <w:r w:rsidRPr="008734B1">
        <w:rPr>
          <w:rFonts w:ascii="Arial Narrow" w:hAnsi="Arial Narrow" w:cs="Arial"/>
          <w:sz w:val="24"/>
          <w:szCs w:val="24"/>
          <w:lang w:val="es-CO"/>
        </w:rPr>
        <w:t xml:space="preserve">Es viable el proyecto, toda vez que </w:t>
      </w:r>
      <w:r w:rsidR="00130476" w:rsidRPr="008734B1">
        <w:rPr>
          <w:rFonts w:ascii="Arial Narrow" w:hAnsi="Arial Narrow" w:cs="Arial"/>
          <w:sz w:val="24"/>
          <w:szCs w:val="24"/>
          <w:lang w:val="es-CO"/>
        </w:rPr>
        <w:t>la propuesta normativa se expide con fundamento en la facultad legal otorgada a la Unidad Administrativa Especial de Gestión Pensional y Contribuciones Parafiscales de la Protección Social –UGPP, en el parágrafo del artículo 244 de la Ley 1955 de 2019</w:t>
      </w:r>
      <w:r w:rsidR="005725B4" w:rsidRPr="008734B1">
        <w:rPr>
          <w:rFonts w:ascii="Arial Narrow" w:hAnsi="Arial Narrow" w:cs="Arial"/>
          <w:sz w:val="24"/>
          <w:szCs w:val="24"/>
          <w:lang w:val="es-CO"/>
        </w:rPr>
        <w:t xml:space="preserve">. </w:t>
      </w:r>
    </w:p>
    <w:p w14:paraId="2D1D622E" w14:textId="77777777" w:rsidR="00312054" w:rsidRPr="008734B1" w:rsidRDefault="00312054" w:rsidP="00C743E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5B4C425F" w14:textId="77777777" w:rsidR="00B27D42" w:rsidRPr="008734B1" w:rsidRDefault="00EB41DE" w:rsidP="00EB41D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CO"/>
        </w:rPr>
      </w:pPr>
      <w:r w:rsidRPr="008734B1">
        <w:rPr>
          <w:rFonts w:ascii="Arial Narrow" w:hAnsi="Arial Narrow" w:cs="Arial"/>
          <w:b/>
          <w:sz w:val="24"/>
          <w:szCs w:val="24"/>
          <w:lang w:val="es-CO"/>
        </w:rPr>
        <w:t xml:space="preserve">4. IMPACTO ECONÓMICO DEL PROYECTO DE DECRETO </w:t>
      </w:r>
    </w:p>
    <w:p w14:paraId="179B112E" w14:textId="77777777" w:rsidR="00C743E7" w:rsidRPr="008734B1" w:rsidRDefault="00C743E7" w:rsidP="00C743E7">
      <w:pPr>
        <w:pStyle w:val="Prrafodelista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32EEBCF2" w14:textId="77777777" w:rsidR="00896A0A" w:rsidRPr="008734B1" w:rsidRDefault="00F5766D" w:rsidP="00896A0A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  <w:r w:rsidRPr="008734B1">
        <w:rPr>
          <w:rFonts w:ascii="Arial Narrow" w:hAnsi="Arial Narrow" w:cs="Arial"/>
          <w:sz w:val="24"/>
          <w:szCs w:val="24"/>
          <w:lang w:val="es-CO"/>
        </w:rPr>
        <w:t>No aplica.</w:t>
      </w:r>
    </w:p>
    <w:p w14:paraId="0BD36257" w14:textId="77777777" w:rsidR="00C743E7" w:rsidRPr="008734B1" w:rsidRDefault="003B0D24" w:rsidP="00C743E7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CO"/>
        </w:rPr>
      </w:pPr>
      <w:r w:rsidRPr="008734B1">
        <w:rPr>
          <w:rFonts w:ascii="Arial Narrow" w:hAnsi="Arial Narrow" w:cs="Arial"/>
          <w:sz w:val="24"/>
          <w:szCs w:val="24"/>
          <w:lang w:val="es-CO"/>
        </w:rPr>
        <w:t xml:space="preserve"> </w:t>
      </w:r>
    </w:p>
    <w:p w14:paraId="3AAA1F3C" w14:textId="6B4668E5" w:rsidR="00B27D42" w:rsidRPr="008734B1" w:rsidRDefault="00EB41DE" w:rsidP="00EB41DE">
      <w:pPr>
        <w:jc w:val="both"/>
        <w:rPr>
          <w:rFonts w:ascii="Arial Narrow" w:hAnsi="Arial Narrow" w:cs="Arial"/>
          <w:b/>
          <w:sz w:val="24"/>
          <w:szCs w:val="24"/>
          <w:lang w:val="es-CO"/>
        </w:rPr>
      </w:pPr>
      <w:r w:rsidRPr="008734B1">
        <w:rPr>
          <w:rFonts w:ascii="Arial Narrow" w:hAnsi="Arial Narrow" w:cs="Arial"/>
          <w:b/>
          <w:sz w:val="24"/>
          <w:szCs w:val="24"/>
          <w:lang w:val="es-CO"/>
        </w:rPr>
        <w:t xml:space="preserve">5. DISPONIBILIDAD PRESUPUESTAL </w:t>
      </w:r>
    </w:p>
    <w:p w14:paraId="2B7D104C" w14:textId="77777777" w:rsidR="00B27D42" w:rsidRDefault="00B27D42" w:rsidP="00B27D42">
      <w:pPr>
        <w:jc w:val="both"/>
        <w:rPr>
          <w:rFonts w:ascii="Arial Narrow" w:hAnsi="Arial Narrow" w:cs="Arial"/>
          <w:sz w:val="24"/>
          <w:szCs w:val="24"/>
          <w:lang w:val="es-CO"/>
        </w:rPr>
      </w:pPr>
      <w:r w:rsidRPr="008734B1">
        <w:rPr>
          <w:rFonts w:ascii="Arial Narrow" w:hAnsi="Arial Narrow" w:cs="Arial"/>
          <w:sz w:val="24"/>
          <w:szCs w:val="24"/>
          <w:lang w:val="es-CO"/>
        </w:rPr>
        <w:t xml:space="preserve">El proyecto de </w:t>
      </w:r>
      <w:r w:rsidR="003625F8" w:rsidRPr="008734B1">
        <w:rPr>
          <w:rFonts w:ascii="Arial Narrow" w:hAnsi="Arial Narrow" w:cs="Arial"/>
          <w:sz w:val="24"/>
          <w:szCs w:val="24"/>
          <w:lang w:val="es-CO"/>
        </w:rPr>
        <w:t>resolución</w:t>
      </w:r>
      <w:r w:rsidRPr="008734B1">
        <w:rPr>
          <w:rFonts w:ascii="Arial Narrow" w:hAnsi="Arial Narrow" w:cs="Arial"/>
          <w:sz w:val="24"/>
          <w:szCs w:val="24"/>
          <w:lang w:val="es-CO"/>
        </w:rPr>
        <w:t xml:space="preserve"> no </w:t>
      </w:r>
      <w:r w:rsidR="00C743E7" w:rsidRPr="008734B1">
        <w:rPr>
          <w:rFonts w:ascii="Arial Narrow" w:hAnsi="Arial Narrow" w:cs="Arial"/>
          <w:sz w:val="24"/>
          <w:szCs w:val="24"/>
          <w:lang w:val="es-CO"/>
        </w:rPr>
        <w:t>requiere de disponibilidad presupuestal</w:t>
      </w:r>
      <w:r w:rsidR="008C4E4E" w:rsidRPr="008734B1">
        <w:rPr>
          <w:rFonts w:ascii="Arial Narrow" w:hAnsi="Arial Narrow" w:cs="Arial"/>
          <w:sz w:val="24"/>
          <w:szCs w:val="24"/>
          <w:lang w:val="es-CO"/>
        </w:rPr>
        <w:t>,</w:t>
      </w:r>
      <w:r w:rsidR="00C743E7" w:rsidRPr="008734B1">
        <w:rPr>
          <w:rFonts w:ascii="Arial Narrow" w:hAnsi="Arial Narrow" w:cs="Arial"/>
          <w:sz w:val="24"/>
          <w:szCs w:val="24"/>
          <w:lang w:val="es-CO"/>
        </w:rPr>
        <w:t xml:space="preserve"> porque no implica un desembolso de recursos económicos a cargo del </w:t>
      </w:r>
      <w:r w:rsidR="008150F4" w:rsidRPr="008734B1">
        <w:rPr>
          <w:rFonts w:ascii="Arial Narrow" w:hAnsi="Arial Narrow" w:cs="Arial"/>
          <w:sz w:val="24"/>
          <w:szCs w:val="24"/>
          <w:lang w:val="es-CO"/>
        </w:rPr>
        <w:t>E</w:t>
      </w:r>
      <w:r w:rsidR="006D5DCA" w:rsidRPr="008734B1">
        <w:rPr>
          <w:rFonts w:ascii="Arial Narrow" w:hAnsi="Arial Narrow" w:cs="Arial"/>
          <w:sz w:val="24"/>
          <w:szCs w:val="24"/>
          <w:lang w:val="es-CO"/>
        </w:rPr>
        <w:t>stado C</w:t>
      </w:r>
      <w:r w:rsidR="00C743E7" w:rsidRPr="008734B1">
        <w:rPr>
          <w:rFonts w:ascii="Arial Narrow" w:hAnsi="Arial Narrow" w:cs="Arial"/>
          <w:sz w:val="24"/>
          <w:szCs w:val="24"/>
          <w:lang w:val="es-CO"/>
        </w:rPr>
        <w:t>olombiano.</w:t>
      </w:r>
    </w:p>
    <w:p w14:paraId="77757E6E" w14:textId="403C4F65" w:rsidR="006A0EF4" w:rsidRPr="006A0EF4" w:rsidRDefault="006A0EF4" w:rsidP="006A0EF4">
      <w:pPr>
        <w:spacing w:after="0" w:line="360" w:lineRule="auto"/>
        <w:rPr>
          <w:rFonts w:ascii="Arial Narrow" w:eastAsia="Times New Roman" w:hAnsi="Arial Narrow" w:cs="Arial"/>
          <w:b/>
          <w:color w:val="000000"/>
          <w:lang w:val="es-CO" w:eastAsia="es-CO"/>
        </w:rPr>
      </w:pPr>
      <w:r>
        <w:rPr>
          <w:rFonts w:ascii="Arial Narrow" w:eastAsia="Times New Roman" w:hAnsi="Arial Narrow" w:cs="Arial"/>
          <w:b/>
          <w:color w:val="000000"/>
          <w:lang w:val="es-CO" w:eastAsia="es-CO"/>
        </w:rPr>
        <w:t xml:space="preserve">6. </w:t>
      </w:r>
      <w:r w:rsidRPr="006A0EF4">
        <w:rPr>
          <w:rFonts w:ascii="Arial Narrow" w:eastAsia="Times New Roman" w:hAnsi="Arial Narrow" w:cs="Arial"/>
          <w:b/>
          <w:color w:val="000000"/>
          <w:lang w:val="es-CO" w:eastAsia="es-CO"/>
        </w:rPr>
        <w:t xml:space="preserve"> IMPACTO AMBIENTAL O SOBRE EL PATRIMONIO CULTURAL DE LA NACIÓN</w:t>
      </w:r>
    </w:p>
    <w:p w14:paraId="718042D6" w14:textId="77777777" w:rsidR="006A0EF4" w:rsidRDefault="006A0EF4" w:rsidP="006A0EF4">
      <w:pPr>
        <w:spacing w:after="0" w:line="360" w:lineRule="auto"/>
        <w:rPr>
          <w:rFonts w:ascii="Arial Narrow" w:eastAsia="Times New Roman" w:hAnsi="Arial Narrow" w:cs="Arial"/>
          <w:color w:val="000000"/>
          <w:lang w:val="es-CO" w:eastAsia="es-CO"/>
        </w:rPr>
      </w:pPr>
      <w:r w:rsidRPr="006A0EF4">
        <w:rPr>
          <w:rFonts w:ascii="Arial Narrow" w:eastAsia="Times New Roman" w:hAnsi="Arial Narrow" w:cs="Arial"/>
          <w:color w:val="000000"/>
          <w:lang w:val="es-CO" w:eastAsia="es-CO"/>
        </w:rPr>
        <w:t>No aplica.</w:t>
      </w:r>
    </w:p>
    <w:p w14:paraId="736BD68E" w14:textId="77777777" w:rsidR="006A0EF4" w:rsidRPr="006A0EF4" w:rsidRDefault="006A0EF4" w:rsidP="006A0EF4">
      <w:pPr>
        <w:spacing w:after="0" w:line="360" w:lineRule="auto"/>
        <w:rPr>
          <w:rFonts w:ascii="Arial Narrow" w:eastAsia="Times New Roman" w:hAnsi="Arial Narrow" w:cs="Arial"/>
          <w:color w:val="000000"/>
          <w:lang w:val="es-CO" w:eastAsia="es-CO"/>
        </w:rPr>
      </w:pPr>
    </w:p>
    <w:p w14:paraId="6090F5C4" w14:textId="3E378811" w:rsidR="006A0EF4" w:rsidRPr="006A0EF4" w:rsidRDefault="006A0EF4" w:rsidP="006A0EF4">
      <w:pPr>
        <w:spacing w:after="0" w:line="360" w:lineRule="auto"/>
        <w:rPr>
          <w:rFonts w:ascii="Arial Narrow" w:eastAsia="Times New Roman" w:hAnsi="Arial Narrow" w:cs="Arial"/>
          <w:b/>
          <w:color w:val="000000"/>
          <w:lang w:val="es-CO" w:eastAsia="es-CO"/>
        </w:rPr>
      </w:pPr>
      <w:r>
        <w:rPr>
          <w:rFonts w:ascii="Arial Narrow" w:eastAsia="Times New Roman" w:hAnsi="Arial Narrow" w:cs="Arial"/>
          <w:color w:val="000000"/>
          <w:lang w:val="es-CO" w:eastAsia="es-CO"/>
        </w:rPr>
        <w:t xml:space="preserve"> </w:t>
      </w:r>
      <w:r w:rsidRPr="006A0EF4">
        <w:rPr>
          <w:rFonts w:ascii="Arial Narrow" w:eastAsia="Times New Roman" w:hAnsi="Arial Narrow" w:cs="Arial"/>
          <w:b/>
          <w:color w:val="000000"/>
          <w:lang w:val="es-CO" w:eastAsia="es-CO"/>
        </w:rPr>
        <w:t>7</w:t>
      </w:r>
      <w:r>
        <w:rPr>
          <w:rFonts w:ascii="Arial Narrow" w:eastAsia="Times New Roman" w:hAnsi="Arial Narrow" w:cs="Arial"/>
          <w:color w:val="000000"/>
          <w:lang w:val="es-CO" w:eastAsia="es-CO"/>
        </w:rPr>
        <w:t xml:space="preserve">. </w:t>
      </w:r>
      <w:r w:rsidRPr="006A0EF4">
        <w:rPr>
          <w:rFonts w:ascii="Arial Narrow" w:eastAsia="Times New Roman" w:hAnsi="Arial Narrow" w:cs="Arial"/>
          <w:b/>
          <w:color w:val="000000"/>
          <w:lang w:val="es-CO" w:eastAsia="es-CO"/>
        </w:rPr>
        <w:t>CUMPLIMIENTO DE LOS REQUISITOS DE CONSULTA Y PUBLICIDAD</w:t>
      </w:r>
    </w:p>
    <w:p w14:paraId="4E7BE833" w14:textId="05B6851E" w:rsidR="006A0EF4" w:rsidRDefault="006A0EF4" w:rsidP="006A0EF4">
      <w:pPr>
        <w:jc w:val="both"/>
        <w:rPr>
          <w:rFonts w:ascii="Arial Narrow" w:eastAsia="Calibri" w:hAnsi="Arial Narrow" w:cs="Arial"/>
          <w:lang w:val="es-CO"/>
        </w:rPr>
      </w:pPr>
      <w:r w:rsidRPr="006A0EF4">
        <w:rPr>
          <w:rFonts w:ascii="Arial Narrow" w:eastAsia="Times New Roman" w:hAnsi="Arial Narrow" w:cs="Arial"/>
          <w:lang w:val="es-CO"/>
        </w:rPr>
        <w:t xml:space="preserve">El proyecto de resolución se publicó en la página de la Unidad Administrativa Especial de Gestión Pensional y Contribuciones Parafiscales-de la Protección Social- UGPP, en el link </w:t>
      </w:r>
      <w:hyperlink r:id="rId8" w:history="1">
        <w:r w:rsidRPr="006A0EF4">
          <w:rPr>
            <w:rFonts w:ascii="Arial Narrow" w:eastAsia="Calibri" w:hAnsi="Arial Narrow" w:cs="Arial"/>
            <w:color w:val="0000FF" w:themeColor="hyperlink"/>
            <w:u w:val="single"/>
            <w:lang w:val="es-CO"/>
          </w:rPr>
          <w:t>https://www.ugpp.gov.co/nuestra-entidad/proyectos-normativa</w:t>
        </w:r>
      </w:hyperlink>
      <w:r w:rsidRPr="006A0EF4">
        <w:rPr>
          <w:rFonts w:ascii="Arial Narrow" w:eastAsia="Calibri" w:hAnsi="Arial Narrow" w:cs="Arial"/>
          <w:lang w:val="es-CO"/>
        </w:rPr>
        <w:t xml:space="preserve">, </w:t>
      </w:r>
      <w:r w:rsidRPr="006A0EF4">
        <w:rPr>
          <w:rFonts w:ascii="Arial Narrow" w:eastAsia="Times New Roman" w:hAnsi="Arial Narrow" w:cs="Arial"/>
          <w:lang w:val="es-CO"/>
        </w:rPr>
        <w:t>del 2</w:t>
      </w:r>
      <w:r>
        <w:rPr>
          <w:rFonts w:ascii="Arial Narrow" w:eastAsia="Times New Roman" w:hAnsi="Arial Narrow" w:cs="Arial"/>
          <w:lang w:val="es-CO"/>
        </w:rPr>
        <w:t xml:space="preserve">4 de diciembre de 2019 al 8 de enero de 2020 </w:t>
      </w:r>
      <w:r w:rsidR="00AD55ED">
        <w:rPr>
          <w:rFonts w:ascii="Arial Narrow" w:eastAsia="Times New Roman" w:hAnsi="Arial Narrow" w:cs="Arial"/>
          <w:lang w:val="es-CO"/>
        </w:rPr>
        <w:t>, término que se amplió hasta el 21 de enero de 2020</w:t>
      </w:r>
      <w:r w:rsidRPr="006A0EF4">
        <w:rPr>
          <w:rFonts w:ascii="Arial Narrow" w:eastAsia="Times New Roman" w:hAnsi="Arial Narrow" w:cs="Arial"/>
          <w:lang w:val="es-CO"/>
        </w:rPr>
        <w:t xml:space="preserve">, en cumplimiento de lo dispuesto en el </w:t>
      </w:r>
      <w:r w:rsidRPr="006A0EF4">
        <w:rPr>
          <w:rFonts w:ascii="Arial Narrow" w:eastAsia="Calibri" w:hAnsi="Arial Narrow" w:cs="Arial"/>
          <w:lang w:val="es-CO"/>
        </w:rPr>
        <w:t xml:space="preserve">Decreto 1081 de 2015 modificado por el </w:t>
      </w:r>
      <w:r w:rsidRPr="006A0EF4">
        <w:rPr>
          <w:rFonts w:ascii="Arial Narrow" w:eastAsia="Calibri" w:hAnsi="Arial Narrow" w:cs="Arial"/>
          <w:lang w:val="es-CO"/>
        </w:rPr>
        <w:lastRenderedPageBreak/>
        <w:t>Decreto 270 de 2017 y artículos 3º núm.9º y 8º núm. 8º del Código de Procedimiento Administrativo y de lo Contencioso Administrativo</w:t>
      </w:r>
      <w:r w:rsidR="00AD55ED">
        <w:rPr>
          <w:rFonts w:ascii="Arial Narrow" w:eastAsia="Calibri" w:hAnsi="Arial Narrow" w:cs="Arial"/>
          <w:lang w:val="es-CO"/>
        </w:rPr>
        <w:t xml:space="preserve"> y Resolución 609 de abril 12 de 2017.</w:t>
      </w:r>
    </w:p>
    <w:p w14:paraId="054E8D56" w14:textId="1088FE2E" w:rsidR="00AD55ED" w:rsidRPr="00AD55ED" w:rsidRDefault="00AD55ED" w:rsidP="00AD55ED">
      <w:pPr>
        <w:spacing w:after="0" w:line="360" w:lineRule="auto"/>
        <w:rPr>
          <w:rFonts w:ascii="Arial Narrow" w:eastAsia="Calibri" w:hAnsi="Arial Narrow" w:cs="Arial"/>
          <w:b/>
          <w:lang w:val="es-CO"/>
        </w:rPr>
      </w:pPr>
      <w:r>
        <w:rPr>
          <w:rFonts w:ascii="Arial Narrow" w:eastAsia="Calibri" w:hAnsi="Arial Narrow" w:cs="Arial"/>
          <w:b/>
          <w:lang w:val="es-CO"/>
        </w:rPr>
        <w:t xml:space="preserve">8. </w:t>
      </w:r>
      <w:r w:rsidRPr="00AD55ED">
        <w:rPr>
          <w:rFonts w:ascii="Arial Narrow" w:eastAsia="Calibri" w:hAnsi="Arial Narrow" w:cs="Arial"/>
          <w:b/>
          <w:lang w:val="es-CO"/>
        </w:rPr>
        <w:t>ANEXOS</w:t>
      </w:r>
    </w:p>
    <w:p w14:paraId="3190D09E" w14:textId="031FA91F" w:rsidR="00AD55ED" w:rsidRPr="00AD55ED" w:rsidRDefault="00AD55ED" w:rsidP="00AD55ED">
      <w:pPr>
        <w:spacing w:after="0" w:line="360" w:lineRule="auto"/>
        <w:rPr>
          <w:rFonts w:ascii="Arial Narrow" w:eastAsia="Calibri" w:hAnsi="Arial Narrow" w:cs="Arial"/>
          <w:lang w:val="es-CO"/>
        </w:rPr>
      </w:pPr>
      <w:r>
        <w:rPr>
          <w:rFonts w:ascii="Arial Narrow" w:eastAsia="Calibri" w:hAnsi="Arial Narrow" w:cs="Arial"/>
          <w:lang w:val="es-CO"/>
        </w:rPr>
        <w:t xml:space="preserve">Matriz de comentarios </w:t>
      </w:r>
      <w:r w:rsidRPr="00AD55ED">
        <w:rPr>
          <w:rFonts w:ascii="Arial Narrow" w:eastAsia="Calibri" w:hAnsi="Arial Narrow" w:cs="Arial"/>
          <w:lang w:val="es-CO"/>
        </w:rPr>
        <w:t>recibidos durante la publicación del proyecto.</w:t>
      </w:r>
    </w:p>
    <w:p w14:paraId="23656E8B" w14:textId="77777777" w:rsidR="00AD55ED" w:rsidRPr="008734B1" w:rsidRDefault="00AD55ED" w:rsidP="006A0EF4">
      <w:pPr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77E702BB" w14:textId="77777777" w:rsidR="001F0FCF" w:rsidRDefault="001F0FCF" w:rsidP="001F0FCF">
      <w:pPr>
        <w:pStyle w:val="Prrafodelista"/>
        <w:jc w:val="both"/>
        <w:rPr>
          <w:rFonts w:ascii="Arial Narrow" w:hAnsi="Arial Narrow" w:cs="Arial"/>
          <w:b/>
          <w:sz w:val="24"/>
          <w:szCs w:val="24"/>
          <w:lang w:val="es-CO"/>
        </w:rPr>
      </w:pPr>
    </w:p>
    <w:p w14:paraId="7801227D" w14:textId="77777777" w:rsidR="006A0EF4" w:rsidRPr="008734B1" w:rsidRDefault="006A0EF4" w:rsidP="001F0FCF">
      <w:pPr>
        <w:pStyle w:val="Prrafodelista"/>
        <w:jc w:val="both"/>
        <w:rPr>
          <w:rFonts w:ascii="Arial Narrow" w:hAnsi="Arial Narrow" w:cs="Arial"/>
          <w:b/>
          <w:sz w:val="24"/>
          <w:szCs w:val="24"/>
          <w:lang w:val="es-CO"/>
        </w:rPr>
      </w:pPr>
    </w:p>
    <w:p w14:paraId="525D69CC" w14:textId="2BE28F33" w:rsidR="00997913" w:rsidRPr="008734B1" w:rsidRDefault="005A5C19" w:rsidP="0099791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CO"/>
        </w:rPr>
      </w:pPr>
      <w:r w:rsidRPr="008734B1">
        <w:rPr>
          <w:rFonts w:ascii="Arial Narrow" w:hAnsi="Arial Narrow" w:cs="Arial"/>
          <w:b/>
          <w:sz w:val="24"/>
          <w:szCs w:val="24"/>
          <w:lang w:val="es-CO"/>
        </w:rPr>
        <w:t>LUIS MANUEL GARAVITO MED</w:t>
      </w:r>
      <w:r w:rsidR="006A0EF4">
        <w:rPr>
          <w:rFonts w:ascii="Arial Narrow" w:hAnsi="Arial Narrow" w:cs="Arial"/>
          <w:b/>
          <w:sz w:val="24"/>
          <w:szCs w:val="24"/>
          <w:lang w:val="es-CO"/>
        </w:rPr>
        <w:t>INA</w:t>
      </w:r>
    </w:p>
    <w:p w14:paraId="64B08A94" w14:textId="0B78CA23" w:rsidR="00997913" w:rsidRDefault="00997913" w:rsidP="0099791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CO"/>
        </w:rPr>
      </w:pPr>
      <w:r w:rsidRPr="008734B1">
        <w:rPr>
          <w:rFonts w:ascii="Arial Narrow" w:hAnsi="Arial Narrow" w:cs="Arial"/>
          <w:b/>
          <w:sz w:val="24"/>
          <w:szCs w:val="24"/>
          <w:lang w:val="es-CO"/>
        </w:rPr>
        <w:t>Director Jurídico</w:t>
      </w:r>
      <w:r w:rsidR="006A0EF4">
        <w:rPr>
          <w:rFonts w:ascii="Arial Narrow" w:hAnsi="Arial Narrow" w:cs="Arial"/>
          <w:b/>
          <w:sz w:val="24"/>
          <w:szCs w:val="24"/>
          <w:lang w:val="es-CO"/>
        </w:rPr>
        <w:t>-UGPP</w:t>
      </w:r>
    </w:p>
    <w:p w14:paraId="40123B74" w14:textId="77777777" w:rsidR="006A0EF4" w:rsidRDefault="006A0EF4" w:rsidP="0099791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CO"/>
        </w:rPr>
      </w:pPr>
    </w:p>
    <w:p w14:paraId="0975274D" w14:textId="0F68D202" w:rsidR="006A0EF4" w:rsidRPr="006A0EF4" w:rsidRDefault="006A0EF4" w:rsidP="00997913">
      <w:pPr>
        <w:spacing w:after="0" w:line="240" w:lineRule="auto"/>
        <w:jc w:val="both"/>
        <w:rPr>
          <w:rFonts w:ascii="Arial Narrow" w:hAnsi="Arial Narrow" w:cs="Arial"/>
          <w:sz w:val="16"/>
          <w:szCs w:val="16"/>
          <w:lang w:val="es-CO"/>
        </w:rPr>
      </w:pPr>
      <w:r w:rsidRPr="006A0EF4">
        <w:rPr>
          <w:rFonts w:ascii="Arial Narrow" w:hAnsi="Arial Narrow" w:cs="Arial"/>
          <w:sz w:val="16"/>
          <w:szCs w:val="16"/>
          <w:lang w:val="es-CO"/>
        </w:rPr>
        <w:t>Proyectó: MGB</w:t>
      </w:r>
    </w:p>
    <w:p w14:paraId="167FB59F" w14:textId="434D5452" w:rsidR="006A0EF4" w:rsidRPr="006A0EF4" w:rsidRDefault="006A0EF4" w:rsidP="00997913">
      <w:pPr>
        <w:spacing w:after="0" w:line="240" w:lineRule="auto"/>
        <w:jc w:val="both"/>
        <w:rPr>
          <w:rFonts w:ascii="Arial Narrow" w:hAnsi="Arial Narrow" w:cs="Arial"/>
          <w:sz w:val="16"/>
          <w:szCs w:val="16"/>
          <w:lang w:val="es-CO"/>
        </w:rPr>
      </w:pPr>
      <w:r w:rsidRPr="006A0EF4">
        <w:rPr>
          <w:rFonts w:ascii="Arial Narrow" w:hAnsi="Arial Narrow" w:cs="Arial"/>
          <w:sz w:val="16"/>
          <w:szCs w:val="16"/>
          <w:lang w:val="es-CO"/>
        </w:rPr>
        <w:t>Revisó: CACB</w:t>
      </w:r>
    </w:p>
    <w:p w14:paraId="63C136F1" w14:textId="77777777" w:rsidR="00997913" w:rsidRPr="008734B1" w:rsidRDefault="00997913" w:rsidP="0099791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CO"/>
        </w:rPr>
      </w:pPr>
    </w:p>
    <w:p w14:paraId="066599F7" w14:textId="77777777" w:rsidR="00997913" w:rsidRPr="008734B1" w:rsidRDefault="00997913" w:rsidP="0099791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lang w:val="es-CO"/>
        </w:rPr>
      </w:pPr>
    </w:p>
    <w:sectPr w:rsidR="00997913" w:rsidRPr="008734B1" w:rsidSect="00925B31">
      <w:head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22553" w14:textId="77777777" w:rsidR="006A0EF4" w:rsidRDefault="006A0EF4" w:rsidP="00B27D42">
      <w:pPr>
        <w:spacing w:after="0" w:line="240" w:lineRule="auto"/>
      </w:pPr>
      <w:r>
        <w:separator/>
      </w:r>
    </w:p>
  </w:endnote>
  <w:endnote w:type="continuationSeparator" w:id="0">
    <w:p w14:paraId="71D15A05" w14:textId="77777777" w:rsidR="006A0EF4" w:rsidRDefault="006A0EF4" w:rsidP="00B2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A62EC" w14:textId="77777777" w:rsidR="006A0EF4" w:rsidRDefault="006A0EF4" w:rsidP="00B27D42">
      <w:pPr>
        <w:spacing w:after="0" w:line="240" w:lineRule="auto"/>
      </w:pPr>
      <w:r>
        <w:separator/>
      </w:r>
    </w:p>
  </w:footnote>
  <w:footnote w:type="continuationSeparator" w:id="0">
    <w:p w14:paraId="14E4C03D" w14:textId="77777777" w:rsidR="006A0EF4" w:rsidRDefault="006A0EF4" w:rsidP="00B2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4992F" w14:textId="77777777" w:rsidR="006A0EF4" w:rsidRDefault="006A0EF4" w:rsidP="004865C5">
    <w:r>
      <w:rPr>
        <w:noProof/>
        <w:lang w:val="es-CO" w:eastAsia="es-CO"/>
      </w:rPr>
      <w:drawing>
        <wp:inline distT="0" distB="0" distL="0" distR="0" wp14:anchorId="2FEAD598" wp14:editId="5F11037B">
          <wp:extent cx="1526258" cy="660400"/>
          <wp:effectExtent l="0" t="0" r="0" b="6350"/>
          <wp:docPr id="2" name="Imagen 2" descr="un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258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75F">
      <w:rPr>
        <w:noProof/>
        <w:lang w:eastAsia="es-CO"/>
      </w:rPr>
      <w:t xml:space="preserve"> </w:t>
    </w:r>
    <w:r w:rsidRPr="009B130E">
      <w:rPr>
        <w:noProof/>
        <w:lang w:eastAsia="es-CO"/>
      </w:rPr>
      <w:t xml:space="preserve"> </w:t>
    </w:r>
    <w:r w:rsidRPr="00385B34">
      <w:rPr>
        <w:noProof/>
        <w:lang w:eastAsia="es-CO"/>
      </w:rPr>
      <w:t xml:space="preserve"> </w:t>
    </w:r>
    <w:r w:rsidRPr="009A0C81">
      <w:rPr>
        <w:noProof/>
        <w:lang w:eastAsia="es-CO"/>
      </w:rPr>
      <w:t xml:space="preserve"> </w:t>
    </w:r>
    <w:r w:rsidRPr="00FE14C1">
      <w:t xml:space="preserve"> </w:t>
    </w:r>
    <w:r w:rsidRPr="007265B8">
      <w:t xml:space="preserve"> </w:t>
    </w:r>
    <w:r>
      <w:tab/>
    </w:r>
  </w:p>
  <w:p w14:paraId="3BC55F77" w14:textId="77777777" w:rsidR="006A0EF4" w:rsidRDefault="006A0E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845"/>
    <w:multiLevelType w:val="hybridMultilevel"/>
    <w:tmpl w:val="61FA4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709"/>
    <w:multiLevelType w:val="hybridMultilevel"/>
    <w:tmpl w:val="F77030DE"/>
    <w:lvl w:ilvl="0" w:tplc="601CA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51144"/>
    <w:multiLevelType w:val="hybridMultilevel"/>
    <w:tmpl w:val="90208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2BA6"/>
    <w:multiLevelType w:val="hybridMultilevel"/>
    <w:tmpl w:val="90208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C2818"/>
    <w:multiLevelType w:val="hybridMultilevel"/>
    <w:tmpl w:val="90208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42"/>
    <w:rsid w:val="000238A9"/>
    <w:rsid w:val="0003072E"/>
    <w:rsid w:val="00037266"/>
    <w:rsid w:val="00040025"/>
    <w:rsid w:val="0004221C"/>
    <w:rsid w:val="000512CF"/>
    <w:rsid w:val="00056812"/>
    <w:rsid w:val="000A6AED"/>
    <w:rsid w:val="000E440D"/>
    <w:rsid w:val="000F32A6"/>
    <w:rsid w:val="00104D8C"/>
    <w:rsid w:val="00111F67"/>
    <w:rsid w:val="00130476"/>
    <w:rsid w:val="00152A3B"/>
    <w:rsid w:val="001649DF"/>
    <w:rsid w:val="00171AF4"/>
    <w:rsid w:val="001836C1"/>
    <w:rsid w:val="00196B3E"/>
    <w:rsid w:val="00197323"/>
    <w:rsid w:val="001A0197"/>
    <w:rsid w:val="001A01B3"/>
    <w:rsid w:val="001A4F30"/>
    <w:rsid w:val="001C6830"/>
    <w:rsid w:val="001D2C69"/>
    <w:rsid w:val="001F0FCF"/>
    <w:rsid w:val="001F3928"/>
    <w:rsid w:val="001F6E0E"/>
    <w:rsid w:val="002029DF"/>
    <w:rsid w:val="00224B41"/>
    <w:rsid w:val="00227991"/>
    <w:rsid w:val="00231132"/>
    <w:rsid w:val="002444C5"/>
    <w:rsid w:val="002550F8"/>
    <w:rsid w:val="00270990"/>
    <w:rsid w:val="00285E97"/>
    <w:rsid w:val="00286C28"/>
    <w:rsid w:val="002A20ED"/>
    <w:rsid w:val="002B061A"/>
    <w:rsid w:val="002B0863"/>
    <w:rsid w:val="002E5C77"/>
    <w:rsid w:val="0030414D"/>
    <w:rsid w:val="00311E3D"/>
    <w:rsid w:val="00312054"/>
    <w:rsid w:val="003155FC"/>
    <w:rsid w:val="0031621E"/>
    <w:rsid w:val="0031788F"/>
    <w:rsid w:val="00321384"/>
    <w:rsid w:val="00340BCA"/>
    <w:rsid w:val="00346C9C"/>
    <w:rsid w:val="00350E02"/>
    <w:rsid w:val="00360645"/>
    <w:rsid w:val="003625F8"/>
    <w:rsid w:val="003710D8"/>
    <w:rsid w:val="00372C74"/>
    <w:rsid w:val="00372D9E"/>
    <w:rsid w:val="00384A8A"/>
    <w:rsid w:val="0038542D"/>
    <w:rsid w:val="003A2341"/>
    <w:rsid w:val="003A4394"/>
    <w:rsid w:val="003A47E2"/>
    <w:rsid w:val="003B0D24"/>
    <w:rsid w:val="003B6B3E"/>
    <w:rsid w:val="003C34CA"/>
    <w:rsid w:val="003F4FE1"/>
    <w:rsid w:val="00422441"/>
    <w:rsid w:val="0046258F"/>
    <w:rsid w:val="004865C5"/>
    <w:rsid w:val="00491319"/>
    <w:rsid w:val="004A0B11"/>
    <w:rsid w:val="004A1376"/>
    <w:rsid w:val="004B017D"/>
    <w:rsid w:val="004C25A1"/>
    <w:rsid w:val="004C6284"/>
    <w:rsid w:val="004F286B"/>
    <w:rsid w:val="00500DB9"/>
    <w:rsid w:val="00513086"/>
    <w:rsid w:val="00531FA3"/>
    <w:rsid w:val="0055004E"/>
    <w:rsid w:val="00551C1D"/>
    <w:rsid w:val="00562EA5"/>
    <w:rsid w:val="005725B4"/>
    <w:rsid w:val="00576731"/>
    <w:rsid w:val="00576998"/>
    <w:rsid w:val="0058196A"/>
    <w:rsid w:val="00583BB6"/>
    <w:rsid w:val="00592C85"/>
    <w:rsid w:val="0059314D"/>
    <w:rsid w:val="005A5BCF"/>
    <w:rsid w:val="005A5C19"/>
    <w:rsid w:val="005D3358"/>
    <w:rsid w:val="005F173B"/>
    <w:rsid w:val="00601957"/>
    <w:rsid w:val="00611489"/>
    <w:rsid w:val="00622CB2"/>
    <w:rsid w:val="00631FBA"/>
    <w:rsid w:val="00637C76"/>
    <w:rsid w:val="00640975"/>
    <w:rsid w:val="006705AF"/>
    <w:rsid w:val="006A0EF4"/>
    <w:rsid w:val="006A4390"/>
    <w:rsid w:val="006D4455"/>
    <w:rsid w:val="006D5CC3"/>
    <w:rsid w:val="006D5DCA"/>
    <w:rsid w:val="006E4E09"/>
    <w:rsid w:val="00705F45"/>
    <w:rsid w:val="00791516"/>
    <w:rsid w:val="0079342F"/>
    <w:rsid w:val="007A034F"/>
    <w:rsid w:val="007C4215"/>
    <w:rsid w:val="007C474B"/>
    <w:rsid w:val="007C6690"/>
    <w:rsid w:val="007D26CA"/>
    <w:rsid w:val="007E0E93"/>
    <w:rsid w:val="0080286E"/>
    <w:rsid w:val="008150F4"/>
    <w:rsid w:val="008213BD"/>
    <w:rsid w:val="008268A2"/>
    <w:rsid w:val="00835784"/>
    <w:rsid w:val="00846D27"/>
    <w:rsid w:val="00865ACA"/>
    <w:rsid w:val="008734B1"/>
    <w:rsid w:val="00874C39"/>
    <w:rsid w:val="0087514F"/>
    <w:rsid w:val="0087787A"/>
    <w:rsid w:val="00896A0A"/>
    <w:rsid w:val="008B0742"/>
    <w:rsid w:val="008C4E4E"/>
    <w:rsid w:val="008D7B7D"/>
    <w:rsid w:val="008E48A0"/>
    <w:rsid w:val="008F0364"/>
    <w:rsid w:val="009017DF"/>
    <w:rsid w:val="0090726A"/>
    <w:rsid w:val="00911679"/>
    <w:rsid w:val="009146DB"/>
    <w:rsid w:val="00916002"/>
    <w:rsid w:val="00921D2A"/>
    <w:rsid w:val="00925B31"/>
    <w:rsid w:val="00940811"/>
    <w:rsid w:val="009529A3"/>
    <w:rsid w:val="00965687"/>
    <w:rsid w:val="009660B4"/>
    <w:rsid w:val="00967B17"/>
    <w:rsid w:val="00984477"/>
    <w:rsid w:val="009855D1"/>
    <w:rsid w:val="00995052"/>
    <w:rsid w:val="00997913"/>
    <w:rsid w:val="009A3504"/>
    <w:rsid w:val="009A5B50"/>
    <w:rsid w:val="009B6462"/>
    <w:rsid w:val="009C2FE6"/>
    <w:rsid w:val="009C4E9F"/>
    <w:rsid w:val="009D3C6B"/>
    <w:rsid w:val="009F0D85"/>
    <w:rsid w:val="00A048BA"/>
    <w:rsid w:val="00A1306E"/>
    <w:rsid w:val="00A1365D"/>
    <w:rsid w:val="00A137B6"/>
    <w:rsid w:val="00A24909"/>
    <w:rsid w:val="00A37B49"/>
    <w:rsid w:val="00A37E14"/>
    <w:rsid w:val="00A40ACA"/>
    <w:rsid w:val="00A50FA2"/>
    <w:rsid w:val="00A62F06"/>
    <w:rsid w:val="00A82011"/>
    <w:rsid w:val="00A8369F"/>
    <w:rsid w:val="00A86072"/>
    <w:rsid w:val="00A870C6"/>
    <w:rsid w:val="00A900FB"/>
    <w:rsid w:val="00A95744"/>
    <w:rsid w:val="00AB3232"/>
    <w:rsid w:val="00AC3877"/>
    <w:rsid w:val="00AD55ED"/>
    <w:rsid w:val="00AE7BC6"/>
    <w:rsid w:val="00AF3E0E"/>
    <w:rsid w:val="00AF7FB6"/>
    <w:rsid w:val="00B0332A"/>
    <w:rsid w:val="00B14D39"/>
    <w:rsid w:val="00B17A7B"/>
    <w:rsid w:val="00B203E7"/>
    <w:rsid w:val="00B22547"/>
    <w:rsid w:val="00B27D42"/>
    <w:rsid w:val="00B30F68"/>
    <w:rsid w:val="00B63DD6"/>
    <w:rsid w:val="00B6624F"/>
    <w:rsid w:val="00B924A6"/>
    <w:rsid w:val="00BA5A18"/>
    <w:rsid w:val="00BA6DF1"/>
    <w:rsid w:val="00BA7299"/>
    <w:rsid w:val="00BB067A"/>
    <w:rsid w:val="00BC0EA4"/>
    <w:rsid w:val="00BE01D0"/>
    <w:rsid w:val="00C013EA"/>
    <w:rsid w:val="00C10649"/>
    <w:rsid w:val="00C17CF6"/>
    <w:rsid w:val="00C240BE"/>
    <w:rsid w:val="00C247FA"/>
    <w:rsid w:val="00C27E30"/>
    <w:rsid w:val="00C65192"/>
    <w:rsid w:val="00C743E7"/>
    <w:rsid w:val="00CB2B4F"/>
    <w:rsid w:val="00CB7D47"/>
    <w:rsid w:val="00CC3E12"/>
    <w:rsid w:val="00CC5778"/>
    <w:rsid w:val="00CC5D07"/>
    <w:rsid w:val="00CC7283"/>
    <w:rsid w:val="00CD2F7D"/>
    <w:rsid w:val="00CD3A65"/>
    <w:rsid w:val="00CE10D4"/>
    <w:rsid w:val="00CF1AF9"/>
    <w:rsid w:val="00D1430F"/>
    <w:rsid w:val="00D2574C"/>
    <w:rsid w:val="00D625AD"/>
    <w:rsid w:val="00D627C7"/>
    <w:rsid w:val="00D65265"/>
    <w:rsid w:val="00D67CDE"/>
    <w:rsid w:val="00D75F8B"/>
    <w:rsid w:val="00D83233"/>
    <w:rsid w:val="00D8448E"/>
    <w:rsid w:val="00D86BDC"/>
    <w:rsid w:val="00DB04A2"/>
    <w:rsid w:val="00DB7E6A"/>
    <w:rsid w:val="00DC76A9"/>
    <w:rsid w:val="00DD0DED"/>
    <w:rsid w:val="00DE78F7"/>
    <w:rsid w:val="00DF5915"/>
    <w:rsid w:val="00E14FCE"/>
    <w:rsid w:val="00E1718F"/>
    <w:rsid w:val="00E316DE"/>
    <w:rsid w:val="00E321CA"/>
    <w:rsid w:val="00E34A67"/>
    <w:rsid w:val="00E421B4"/>
    <w:rsid w:val="00E56BAF"/>
    <w:rsid w:val="00E57B6A"/>
    <w:rsid w:val="00E87A39"/>
    <w:rsid w:val="00EB41DE"/>
    <w:rsid w:val="00EB6088"/>
    <w:rsid w:val="00EB6716"/>
    <w:rsid w:val="00EE0AE9"/>
    <w:rsid w:val="00EE5F8D"/>
    <w:rsid w:val="00F12C43"/>
    <w:rsid w:val="00F26CB7"/>
    <w:rsid w:val="00F32B92"/>
    <w:rsid w:val="00F3553F"/>
    <w:rsid w:val="00F435CB"/>
    <w:rsid w:val="00F5766D"/>
    <w:rsid w:val="00F61402"/>
    <w:rsid w:val="00F63FBC"/>
    <w:rsid w:val="00F761FA"/>
    <w:rsid w:val="00F90C12"/>
    <w:rsid w:val="00F95D02"/>
    <w:rsid w:val="00FA023A"/>
    <w:rsid w:val="00FA342A"/>
    <w:rsid w:val="00FA7B8B"/>
    <w:rsid w:val="00FD2718"/>
    <w:rsid w:val="00FD4A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1994"/>
  <w15:docId w15:val="{B3035DBA-8C33-44EF-B2CC-630FA71F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4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D42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B27D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27D42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7D42"/>
    <w:rPr>
      <w:rFonts w:ascii="Calibri" w:eastAsia="Calibri" w:hAnsi="Calibri" w:cs="Times New Roman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7D4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7D4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7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72C74"/>
  </w:style>
  <w:style w:type="character" w:styleId="Textoennegrita">
    <w:name w:val="Strong"/>
    <w:basedOn w:val="Fuentedeprrafopredeter"/>
    <w:uiPriority w:val="22"/>
    <w:qFormat/>
    <w:rsid w:val="00372C74"/>
    <w:rPr>
      <w:b/>
      <w:bCs/>
    </w:rPr>
  </w:style>
  <w:style w:type="paragraph" w:customStyle="1" w:styleId="Default">
    <w:name w:val="Default"/>
    <w:rsid w:val="000372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F59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9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91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59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5915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915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6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5C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6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5C5"/>
    <w:rPr>
      <w:lang w:val="es-ES"/>
    </w:rPr>
  </w:style>
  <w:style w:type="character" w:customStyle="1" w:styleId="baj">
    <w:name w:val="b_aj"/>
    <w:basedOn w:val="Fuentedeprrafopredeter"/>
    <w:rsid w:val="00A2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4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15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18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pp.gov.co/nuestra-entidad/proyectos-norma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685E-A394-40A6-A151-4E02B406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Sonda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LILIANA PERDOMO ESTRADA</dc:creator>
  <cp:lastModifiedBy>MARIBEL GONZALEZ BENAVIDES</cp:lastModifiedBy>
  <cp:revision>2</cp:revision>
  <cp:lastPrinted>2013-12-06T18:29:00Z</cp:lastPrinted>
  <dcterms:created xsi:type="dcterms:W3CDTF">2020-03-03T13:10:00Z</dcterms:created>
  <dcterms:modified xsi:type="dcterms:W3CDTF">2020-03-03T13:10:00Z</dcterms:modified>
</cp:coreProperties>
</file>